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03" w:rsidRDefault="00CB15A8">
      <w:pPr>
        <w:rPr>
          <w:b/>
        </w:rPr>
      </w:pPr>
      <w:sdt>
        <w:sdtPr>
          <w:rPr>
            <w:rStyle w:val="Clickortaptoenterorganisationname"/>
          </w:rPr>
          <w:alias w:val="Click or tap to enter organisation name"/>
          <w:tag w:val="Click or tap to enter organisation name"/>
          <w:id w:val="-1868205379"/>
          <w:placeholder>
            <w:docPart w:val="1EE5FD97CF2C4E91A8D902187B357BFC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>
            <w:rPr>
              <w:rStyle w:val="PlaceholderText"/>
            </w:rPr>
            <w:t>Click or tap to enter organisation name</w:t>
          </w:r>
        </w:sdtContent>
      </w:sdt>
    </w:p>
    <w:p w:rsidR="00B40803" w:rsidRPr="00B40803" w:rsidRDefault="00B40803">
      <w:pPr>
        <w:rPr>
          <w:b/>
        </w:rPr>
      </w:pPr>
      <w:r>
        <w:rPr>
          <w:b/>
        </w:rPr>
        <w:t xml:space="preserve">Checklist completed: </w:t>
      </w:r>
      <w:sdt>
        <w:sdtPr>
          <w:rPr>
            <w:rStyle w:val="Clickortaptoenteradate"/>
          </w:rPr>
          <w:alias w:val="Click or tap to enter a date"/>
          <w:id w:val="1125128012"/>
          <w:placeholder>
            <w:docPart w:val="6AB837D0EF014094A1C1151881E1726D"/>
          </w:placeholder>
          <w:showingPlcHdr/>
          <w:date w:fullDate="2017-08-24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CB15A8" w:rsidRPr="00216890">
            <w:rPr>
              <w:rStyle w:val="PlaceholderText"/>
            </w:rPr>
            <w:t>Click or tap to enter a date.</w:t>
          </w:r>
        </w:sdtContent>
      </w:sdt>
    </w:p>
    <w:p w:rsidR="00C46523" w:rsidRPr="008913A3" w:rsidRDefault="00C46523">
      <w:pPr>
        <w:rPr>
          <w:i/>
        </w:rPr>
      </w:pPr>
      <w:r w:rsidRPr="008913A3">
        <w:rPr>
          <w:i/>
        </w:rPr>
        <w:t xml:space="preserve">This form has been prepared by Campbell Tickell. It aims to assist housing providers in taking a systematic approach to tracking exposure to those risks highlighted by the regulator. Please note this is </w:t>
      </w:r>
      <w:r w:rsidRPr="008913A3">
        <w:rPr>
          <w:b/>
          <w:i/>
          <w:u w:val="single"/>
        </w:rPr>
        <w:t>not</w:t>
      </w:r>
      <w:r w:rsidRPr="008913A3">
        <w:rPr>
          <w:i/>
        </w:rPr>
        <w:t xml:space="preserve"> an exhaustive list of risks that the sector or an individual provider faces, rather it highlights those risks identified in the HCA’s Sector Risk Profile 2017</w:t>
      </w:r>
      <w:r w:rsidRPr="008913A3">
        <w:rPr>
          <w:rStyle w:val="FootnoteReference"/>
          <w:i/>
        </w:rPr>
        <w:footnoteReference w:id="1"/>
      </w:r>
      <w:r w:rsidRPr="008913A3">
        <w:rPr>
          <w:i/>
        </w:rPr>
        <w:t>. Boards will of course look to assure themselves of the controls in place to mitigate the specific risks that their organisation is facing.</w:t>
      </w:r>
    </w:p>
    <w:tbl>
      <w:tblPr>
        <w:tblStyle w:val="TableGrid"/>
        <w:tblW w:w="498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1"/>
        <w:gridCol w:w="1562"/>
        <w:gridCol w:w="3769"/>
        <w:gridCol w:w="3377"/>
        <w:gridCol w:w="3484"/>
        <w:gridCol w:w="1983"/>
      </w:tblGrid>
      <w:tr w:rsidR="003F4226" w:rsidRPr="00516477" w:rsidTr="00D40FA2">
        <w:trPr>
          <w:cantSplit/>
          <w:tblHeader/>
        </w:trPr>
        <w:tc>
          <w:tcPr>
            <w:tcW w:w="190" w:type="pct"/>
            <w:shd w:val="clear" w:color="auto" w:fill="BDD6EE" w:themeFill="accent5" w:themeFillTint="66"/>
          </w:tcPr>
          <w:p w:rsidR="000435E6" w:rsidRPr="00516477" w:rsidRDefault="00F73A64" w:rsidP="00D40FA2">
            <w:pPr>
              <w:spacing w:before="40"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#</w:t>
            </w:r>
          </w:p>
        </w:tc>
        <w:tc>
          <w:tcPr>
            <w:tcW w:w="530" w:type="pct"/>
            <w:shd w:val="clear" w:color="auto" w:fill="BDD6EE" w:themeFill="accent5" w:themeFillTint="66"/>
          </w:tcPr>
          <w:p w:rsidR="000435E6" w:rsidRPr="00516477" w:rsidRDefault="000435E6" w:rsidP="00D40FA2">
            <w:pPr>
              <w:spacing w:before="40" w:after="40"/>
              <w:rPr>
                <w:b/>
                <w:sz w:val="28"/>
              </w:rPr>
            </w:pPr>
            <w:r w:rsidRPr="00516477">
              <w:rPr>
                <w:b/>
                <w:sz w:val="28"/>
              </w:rPr>
              <w:t>Category</w:t>
            </w:r>
          </w:p>
        </w:tc>
        <w:tc>
          <w:tcPr>
            <w:tcW w:w="1279" w:type="pct"/>
            <w:shd w:val="clear" w:color="auto" w:fill="BDD6EE" w:themeFill="accent5" w:themeFillTint="66"/>
          </w:tcPr>
          <w:p w:rsidR="000435E6" w:rsidRPr="00160D88" w:rsidRDefault="000435E6" w:rsidP="00D40FA2">
            <w:pPr>
              <w:spacing w:before="40" w:after="40"/>
              <w:rPr>
                <w:i/>
              </w:rPr>
            </w:pPr>
            <w:r w:rsidRPr="00516477">
              <w:rPr>
                <w:b/>
                <w:sz w:val="28"/>
              </w:rPr>
              <w:t>Risk</w:t>
            </w:r>
            <w:r w:rsidR="00493EC0">
              <w:rPr>
                <w:b/>
                <w:sz w:val="28"/>
              </w:rPr>
              <w:t xml:space="preserve"> </w:t>
            </w:r>
            <w:r w:rsidR="00493EC0" w:rsidRPr="007131A0">
              <w:rPr>
                <w:i/>
                <w:sz w:val="20"/>
              </w:rPr>
              <w:t>(</w:t>
            </w:r>
            <w:r w:rsidR="00B6490B" w:rsidRPr="007131A0">
              <w:rPr>
                <w:i/>
                <w:sz w:val="20"/>
              </w:rPr>
              <w:t>p</w:t>
            </w:r>
            <w:r w:rsidR="008913A3">
              <w:rPr>
                <w:i/>
                <w:sz w:val="20"/>
              </w:rPr>
              <w:t>#</w:t>
            </w:r>
            <w:r w:rsidR="00B6490B" w:rsidRPr="007131A0">
              <w:rPr>
                <w:i/>
                <w:sz w:val="20"/>
              </w:rPr>
              <w:t xml:space="preserve"> =</w:t>
            </w:r>
            <w:r w:rsidR="000E238E" w:rsidRPr="007131A0">
              <w:rPr>
                <w:i/>
                <w:sz w:val="20"/>
              </w:rPr>
              <w:t xml:space="preserve"> </w:t>
            </w:r>
            <w:r w:rsidR="00493EC0" w:rsidRPr="007131A0">
              <w:rPr>
                <w:i/>
                <w:sz w:val="20"/>
              </w:rPr>
              <w:t>SRP</w:t>
            </w:r>
            <w:r w:rsidR="000E238E" w:rsidRPr="007131A0">
              <w:rPr>
                <w:i/>
                <w:sz w:val="20"/>
              </w:rPr>
              <w:t>17</w:t>
            </w:r>
            <w:r w:rsidR="00493EC0" w:rsidRPr="007131A0">
              <w:rPr>
                <w:i/>
                <w:sz w:val="20"/>
              </w:rPr>
              <w:t xml:space="preserve"> page</w:t>
            </w:r>
            <w:r w:rsidR="00B6490B" w:rsidRPr="007131A0">
              <w:rPr>
                <w:i/>
                <w:sz w:val="20"/>
              </w:rPr>
              <w:t xml:space="preserve"> number</w:t>
            </w:r>
            <w:r w:rsidR="00493EC0" w:rsidRPr="007131A0">
              <w:rPr>
                <w:i/>
                <w:sz w:val="20"/>
              </w:rPr>
              <w:t>)</w:t>
            </w:r>
          </w:p>
        </w:tc>
        <w:tc>
          <w:tcPr>
            <w:tcW w:w="1146" w:type="pct"/>
            <w:shd w:val="clear" w:color="auto" w:fill="BDD6EE" w:themeFill="accent5" w:themeFillTint="66"/>
          </w:tcPr>
          <w:p w:rsidR="000435E6" w:rsidRPr="00516477" w:rsidRDefault="000435E6" w:rsidP="00D40FA2">
            <w:pPr>
              <w:spacing w:before="40" w:after="40"/>
              <w:rPr>
                <w:b/>
                <w:sz w:val="28"/>
              </w:rPr>
            </w:pPr>
            <w:r w:rsidRPr="00516477">
              <w:rPr>
                <w:b/>
                <w:sz w:val="28"/>
              </w:rPr>
              <w:t>Status</w:t>
            </w:r>
          </w:p>
        </w:tc>
        <w:tc>
          <w:tcPr>
            <w:tcW w:w="1182" w:type="pct"/>
            <w:shd w:val="clear" w:color="auto" w:fill="BDD6EE" w:themeFill="accent5" w:themeFillTint="66"/>
          </w:tcPr>
          <w:p w:rsidR="000435E6" w:rsidRPr="00516477" w:rsidRDefault="000435E6" w:rsidP="00D40FA2">
            <w:pPr>
              <w:spacing w:before="40" w:after="40"/>
              <w:jc w:val="center"/>
              <w:rPr>
                <w:b/>
                <w:sz w:val="28"/>
              </w:rPr>
            </w:pPr>
            <w:r w:rsidRPr="00516477">
              <w:rPr>
                <w:b/>
                <w:sz w:val="28"/>
              </w:rPr>
              <w:t xml:space="preserve">Controls </w:t>
            </w:r>
            <w:r w:rsidR="00493EC0">
              <w:rPr>
                <w:b/>
                <w:sz w:val="28"/>
              </w:rPr>
              <w:t>&amp;</w:t>
            </w:r>
            <w:r w:rsidRPr="00516477">
              <w:rPr>
                <w:b/>
                <w:sz w:val="28"/>
              </w:rPr>
              <w:t xml:space="preserve"> Assurance</w:t>
            </w:r>
          </w:p>
        </w:tc>
        <w:tc>
          <w:tcPr>
            <w:tcW w:w="673" w:type="pct"/>
            <w:shd w:val="clear" w:color="auto" w:fill="BDD6EE" w:themeFill="accent5" w:themeFillTint="66"/>
          </w:tcPr>
          <w:p w:rsidR="000435E6" w:rsidRPr="00516477" w:rsidRDefault="00493EC0" w:rsidP="00D40FA2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Action </w:t>
            </w:r>
            <w:r w:rsidR="00571673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eeded</w:t>
            </w:r>
          </w:p>
        </w:tc>
      </w:tr>
      <w:tr w:rsidR="00004B74" w:rsidRPr="004D3237" w:rsidTr="00D40FA2">
        <w:trPr>
          <w:cantSplit/>
        </w:trPr>
        <w:tc>
          <w:tcPr>
            <w:tcW w:w="5000" w:type="pct"/>
            <w:gridSpan w:val="6"/>
          </w:tcPr>
          <w:p w:rsidR="00004B74" w:rsidRPr="004D3237" w:rsidRDefault="00004B74" w:rsidP="00D40FA2">
            <w:pPr>
              <w:spacing w:before="40" w:after="40"/>
              <w:rPr>
                <w:b/>
                <w:sz w:val="26"/>
                <w:szCs w:val="26"/>
              </w:rPr>
            </w:pPr>
            <w:r w:rsidRPr="004D3237">
              <w:rPr>
                <w:b/>
                <w:sz w:val="26"/>
                <w:szCs w:val="26"/>
              </w:rPr>
              <w:t xml:space="preserve">Introduction </w:t>
            </w:r>
            <w:r w:rsidRPr="004D3237">
              <w:rPr>
                <w:i/>
                <w:sz w:val="26"/>
                <w:szCs w:val="26"/>
              </w:rPr>
              <w:t>(not covered elsewhere)</w:t>
            </w:r>
          </w:p>
        </w:tc>
      </w:tr>
      <w:tr w:rsidR="007F3E98" w:rsidTr="00D40FA2">
        <w:trPr>
          <w:cantSplit/>
        </w:trPr>
        <w:tc>
          <w:tcPr>
            <w:tcW w:w="190" w:type="pct"/>
            <w:vMerge w:val="restart"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7F3E98" w:rsidRPr="00B34661" w:rsidRDefault="00AC23A4" w:rsidP="00D40FA2">
            <w:pPr>
              <w:keepLines/>
              <w:rPr>
                <w:b/>
              </w:rPr>
            </w:pPr>
            <w:r>
              <w:rPr>
                <w:b/>
                <w:sz w:val="24"/>
              </w:rPr>
              <w:t>Strategic / Board</w:t>
            </w:r>
            <w:r w:rsidR="007F3E98">
              <w:rPr>
                <w:b/>
                <w:sz w:val="24"/>
              </w:rPr>
              <w:t xml:space="preserve"> risk management</w:t>
            </w:r>
          </w:p>
        </w:tc>
        <w:tc>
          <w:tcPr>
            <w:tcW w:w="1279" w:type="pct"/>
            <w:vMerge w:val="restart"/>
          </w:tcPr>
          <w:p w:rsidR="007F3E98" w:rsidRDefault="007F3E98" w:rsidP="00D40FA2">
            <w:pPr>
              <w:keepLines/>
            </w:pPr>
            <w:r>
              <w:t xml:space="preserve">Business plan is based on unsound assumptions </w:t>
            </w:r>
            <w:r w:rsidRPr="00004B74">
              <w:rPr>
                <w:i/>
              </w:rPr>
              <w:t>(</w:t>
            </w:r>
            <w:r>
              <w:rPr>
                <w:i/>
              </w:rPr>
              <w:t>p</w:t>
            </w:r>
            <w:r w:rsidR="00EC20BF">
              <w:rPr>
                <w:i/>
              </w:rPr>
              <w:t>.</w:t>
            </w:r>
            <w:r w:rsidRPr="00004B74">
              <w:rPr>
                <w:i/>
              </w:rPr>
              <w:t>7)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7F3E98" w:rsidRDefault="007F3E98" w:rsidP="00D40FA2">
            <w:pPr>
              <w:keepLines/>
            </w:pPr>
            <w:r>
              <w:t xml:space="preserve">Are we exposed to this risk?     </w:t>
            </w:r>
          </w:p>
          <w:p w:rsidR="007F3E98" w:rsidRDefault="007F3E98" w:rsidP="00D40FA2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2412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9607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7F3E98" w:rsidRDefault="009B4814" w:rsidP="00D40F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 w:rsidR="00DD7BB4">
              <w:t> </w:t>
            </w:r>
            <w:r w:rsidR="00DD7BB4">
              <w:t> </w:t>
            </w:r>
            <w:r w:rsidR="00DD7BB4">
              <w:t> </w:t>
            </w:r>
            <w:r w:rsidR="00DD7BB4">
              <w:t> </w:t>
            </w:r>
            <w:r w:rsidR="00DD7BB4">
              <w:t> </w:t>
            </w:r>
            <w:r>
              <w:fldChar w:fldCharType="end"/>
            </w:r>
            <w:bookmarkEnd w:id="0"/>
          </w:p>
        </w:tc>
        <w:tc>
          <w:tcPr>
            <w:tcW w:w="673" w:type="pct"/>
            <w:vMerge w:val="restart"/>
          </w:tcPr>
          <w:p w:rsidR="007F3E98" w:rsidRDefault="009B4814" w:rsidP="00D40F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  <w:rPr>
                <w:b/>
                <w:sz w:val="24"/>
              </w:rPr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7F3E98" w:rsidRDefault="007F3E98" w:rsidP="00D40FA2">
            <w:pPr>
              <w:keepLines/>
            </w:pPr>
            <w:r>
              <w:t>Which risk map(s) is it tracked on:</w:t>
            </w:r>
          </w:p>
          <w:p w:rsidR="007F3E98" w:rsidRDefault="00AC23A4" w:rsidP="00D40FA2">
            <w:pPr>
              <w:keepLines/>
            </w:pPr>
            <w:r>
              <w:t>Strategic / Board</w:t>
            </w:r>
            <w:r w:rsidR="007F3E98">
              <w:t xml:space="preserve">  </w:t>
            </w:r>
            <w:r w:rsidR="007F3E98" w:rsidRPr="00FE58FA">
              <w:rPr>
                <w:sz w:val="20"/>
              </w:rPr>
              <w:t xml:space="preserve">    </w:t>
            </w:r>
            <w:r w:rsidR="007F3E98">
              <w:t xml:space="preserve"> </w:t>
            </w:r>
            <w:sdt>
              <w:sdtPr>
                <w:rPr>
                  <w:sz w:val="28"/>
                </w:rPr>
                <w:id w:val="8911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   </w:t>
            </w:r>
          </w:p>
          <w:p w:rsidR="007F3E98" w:rsidRDefault="00AC23A4" w:rsidP="00D40FA2">
            <w:pPr>
              <w:keepLines/>
            </w:pPr>
            <w:r>
              <w:t xml:space="preserve">Operational              </w:t>
            </w:r>
            <w:r w:rsidR="007F3E9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6467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</w:t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  <w:rPr>
                <w:b/>
                <w:sz w:val="24"/>
              </w:rPr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AC23A4" w:rsidRDefault="00F73A64" w:rsidP="00D40FA2">
            <w:pPr>
              <w:keepLines/>
            </w:pPr>
            <w:r>
              <w:t>Scale of exposure</w:t>
            </w:r>
            <w:r w:rsidR="00AC23A4">
              <w:t>:</w:t>
            </w:r>
          </w:p>
          <w:p w:rsidR="007F3E98" w:rsidRDefault="00CA4161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Business plan is not built on a consideration of our risk appetite </w:t>
            </w:r>
            <w:r w:rsidRPr="00004B74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004B74">
              <w:rPr>
                <w:i/>
              </w:rPr>
              <w:t>7)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5586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20833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 xml:space="preserve">Strategic / Board </w:t>
            </w:r>
            <w:r w:rsidRPr="00FE58FA">
              <w:rPr>
                <w:sz w:val="20"/>
              </w:rPr>
              <w:t xml:space="preserve">    </w:t>
            </w:r>
            <w:r>
              <w:t xml:space="preserve">  </w:t>
            </w:r>
            <w:sdt>
              <w:sdtPr>
                <w:rPr>
                  <w:sz w:val="28"/>
                </w:rPr>
                <w:id w:val="-2032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96069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CA4161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  <w:contextualSpacing w:val="0"/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Financial and management data is inaccurate, inconsistent or untimely </w:t>
            </w:r>
            <w:r w:rsidRPr="00004B74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004B74">
              <w:rPr>
                <w:i/>
              </w:rPr>
              <w:t>7)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5382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88779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530" w:type="pct"/>
            <w:vMerge/>
          </w:tcPr>
          <w:p w:rsidR="007F3E98" w:rsidRPr="00B34661" w:rsidRDefault="007F3E98" w:rsidP="00D40FA2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7F3E98" w:rsidRDefault="007F3E98" w:rsidP="00D40FA2">
            <w:pPr>
              <w:keepLines/>
            </w:pPr>
            <w:r>
              <w:t>Which risk map(s) is it tracked on:</w:t>
            </w:r>
          </w:p>
          <w:p w:rsidR="007F3E98" w:rsidRDefault="00AC23A4" w:rsidP="00D40FA2">
            <w:pPr>
              <w:keepLines/>
            </w:pPr>
            <w:r>
              <w:t>Strategic / Board</w:t>
            </w:r>
            <w:r w:rsidR="007F3E98">
              <w:t xml:space="preserve"> </w:t>
            </w:r>
            <w:r w:rsidR="007F3E98" w:rsidRPr="00FE58FA">
              <w:rPr>
                <w:sz w:val="20"/>
              </w:rPr>
              <w:t xml:space="preserve">    </w:t>
            </w:r>
            <w:r w:rsidR="007F3E98">
              <w:t xml:space="preserve">  </w:t>
            </w:r>
            <w:sdt>
              <w:sdtPr>
                <w:rPr>
                  <w:sz w:val="28"/>
                </w:rPr>
                <w:id w:val="-2994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   </w:t>
            </w:r>
          </w:p>
          <w:p w:rsidR="007F3E98" w:rsidRDefault="00AC23A4" w:rsidP="00D40FA2">
            <w:pPr>
              <w:keepLines/>
            </w:pPr>
            <w:r>
              <w:t xml:space="preserve">Operational              </w:t>
            </w:r>
            <w:r w:rsidR="007F3E9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9349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</w:t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  <w:contextualSpacing w:val="0"/>
            </w:pPr>
          </w:p>
        </w:tc>
        <w:tc>
          <w:tcPr>
            <w:tcW w:w="530" w:type="pct"/>
            <w:vMerge/>
          </w:tcPr>
          <w:p w:rsidR="007F3E98" w:rsidRPr="00B34661" w:rsidRDefault="007F3E98" w:rsidP="00D40FA2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</w:tcBorders>
          </w:tcPr>
          <w:p w:rsidR="00AC23A4" w:rsidRDefault="00F73A64" w:rsidP="00D40FA2">
            <w:pPr>
              <w:keepLines/>
            </w:pPr>
            <w:r>
              <w:t>Scale of exposure</w:t>
            </w:r>
            <w:r w:rsidR="00AC23A4">
              <w:t>:</w:t>
            </w:r>
          </w:p>
          <w:p w:rsidR="007F3E98" w:rsidDel="007F3E98" w:rsidRDefault="00CA4161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8C3068" w:rsidRPr="004D3237" w:rsidTr="00D40FA2">
        <w:trPr>
          <w:cantSplit/>
        </w:trPr>
        <w:tc>
          <w:tcPr>
            <w:tcW w:w="5000" w:type="pct"/>
            <w:gridSpan w:val="6"/>
          </w:tcPr>
          <w:p w:rsidR="008C3068" w:rsidRPr="004D3237" w:rsidRDefault="00AF4930" w:rsidP="00D40FA2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Operational</w:t>
            </w:r>
            <w:r w:rsidR="008C3068" w:rsidRPr="004D3237">
              <w:rPr>
                <w:b/>
                <w:sz w:val="26"/>
                <w:szCs w:val="26"/>
              </w:rPr>
              <w:t xml:space="preserve"> risks – existing stock</w:t>
            </w:r>
          </w:p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9B4814" w:rsidRPr="00B34661" w:rsidRDefault="009B4814" w:rsidP="009B4814">
            <w:pPr>
              <w:keepNext/>
              <w:keepLines/>
              <w:rPr>
                <w:b/>
              </w:rPr>
            </w:pPr>
            <w:r w:rsidRPr="00B34661">
              <w:rPr>
                <w:b/>
              </w:rPr>
              <w:t>Stock management</w:t>
            </w:r>
            <w:r>
              <w:rPr>
                <w:b/>
              </w:rPr>
              <w:t>,</w:t>
            </w:r>
            <w:r w:rsidRPr="00B34661">
              <w:rPr>
                <w:b/>
              </w:rPr>
              <w:t xml:space="preserve"> housing quality</w:t>
            </w:r>
          </w:p>
          <w:p w:rsidR="009B4814" w:rsidRPr="00B34661" w:rsidRDefault="009B4814" w:rsidP="009B4814">
            <w:pPr>
              <w:keepNext/>
              <w:keepLines/>
              <w:rPr>
                <w:b/>
              </w:rPr>
            </w:pPr>
            <w:r>
              <w:rPr>
                <w:b/>
              </w:rPr>
              <w:t>and</w:t>
            </w:r>
            <w:r w:rsidRPr="00B34661">
              <w:rPr>
                <w:b/>
              </w:rPr>
              <w:t xml:space="preserve"> health and safety of occupants</w:t>
            </w: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Next/>
              <w:keepLines/>
            </w:pPr>
            <w:r>
              <w:t xml:space="preserve">Breach of any health and safety legislation. </w:t>
            </w:r>
            <w:r>
              <w:rPr>
                <w:i/>
              </w:rPr>
              <w:t>[</w:t>
            </w:r>
            <w:r w:rsidRPr="002E78B6">
              <w:rPr>
                <w:i/>
              </w:rPr>
              <w:t>including gas safety, fire safety, legionella etc</w:t>
            </w:r>
            <w:r>
              <w:rPr>
                <w:i/>
              </w:rPr>
              <w:t xml:space="preserve">.] </w:t>
            </w:r>
            <w:r w:rsidRPr="00160D88">
              <w:rPr>
                <w:i/>
              </w:rPr>
              <w:t>(</w:t>
            </w:r>
            <w:r>
              <w:rPr>
                <w:i/>
              </w:rPr>
              <w:t xml:space="preserve">pp. 2, 5, </w:t>
            </w:r>
            <w:r w:rsidRPr="00160D88">
              <w:rPr>
                <w:i/>
              </w:rPr>
              <w:t>9)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Next/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Next/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82224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2753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Next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Next/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Next/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Next/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Next/>
              <w:keepLines/>
            </w:pPr>
            <w:r>
              <w:t>Strategic / Board</w:t>
            </w:r>
            <w:r w:rsidRPr="00B5781C">
              <w:rPr>
                <w:sz w:val="20"/>
              </w:rPr>
              <w:t xml:space="preserve"> </w:t>
            </w:r>
            <w:r w:rsidRPr="00B5781C">
              <w:rPr>
                <w:sz w:val="18"/>
              </w:rPr>
              <w:t xml:space="preserve">    </w:t>
            </w:r>
            <w:r w:rsidRPr="00B5781C">
              <w:rPr>
                <w:sz w:val="20"/>
              </w:rPr>
              <w:t xml:space="preserve"> </w:t>
            </w:r>
            <w:r>
              <w:t xml:space="preserve"> </w:t>
            </w:r>
            <w:sdt>
              <w:sdtPr>
                <w:rPr>
                  <w:sz w:val="28"/>
                </w:rPr>
                <w:id w:val="16724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Next/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6595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Next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Next/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Next/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Next/>
              <w:keepLines/>
            </w:pPr>
            <w:r>
              <w:t>Scale of exposure:</w:t>
            </w:r>
          </w:p>
          <w:p w:rsidR="009B4814" w:rsidDel="007F3E98" w:rsidRDefault="00CA4161" w:rsidP="009B4814">
            <w:pPr>
              <w:keepNext/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Breach of HCA’s Home Standard </w:t>
            </w:r>
            <w:r w:rsidRPr="00160D88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160D88">
              <w:rPr>
                <w:i/>
              </w:rPr>
              <w:t>9)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3411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5065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 xml:space="preserve">Strategic / Board </w:t>
            </w:r>
            <w:r w:rsidRPr="00FE58FA">
              <w:rPr>
                <w:sz w:val="20"/>
              </w:rPr>
              <w:t xml:space="preserve">     </w:t>
            </w:r>
            <w:r>
              <w:t xml:space="preserve"> </w:t>
            </w:r>
            <w:sdt>
              <w:sdtPr>
                <w:rPr>
                  <w:sz w:val="28"/>
                </w:rPr>
                <w:id w:val="17099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0380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CA4161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Breach of Decent Homes Standard </w:t>
            </w:r>
            <w:r w:rsidRPr="00160D88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160D88">
              <w:rPr>
                <w:i/>
              </w:rPr>
              <w:t>9)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6576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28234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73AF" w:rsidTr="00D40FA2">
        <w:trPr>
          <w:cantSplit/>
        </w:trPr>
        <w:tc>
          <w:tcPr>
            <w:tcW w:w="190" w:type="pct"/>
            <w:vMerge/>
          </w:tcPr>
          <w:p w:rsidR="009573AF" w:rsidRDefault="009573AF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1279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573AF" w:rsidRDefault="009573AF" w:rsidP="00D40FA2">
            <w:pPr>
              <w:keepLines/>
            </w:pPr>
            <w:r>
              <w:t>Which risk map(s) is it tracked on:</w:t>
            </w:r>
          </w:p>
          <w:p w:rsidR="009573AF" w:rsidRDefault="009573AF" w:rsidP="00D40FA2">
            <w:pPr>
              <w:keepLines/>
            </w:pPr>
            <w:r>
              <w:t>Strategic / Board</w:t>
            </w:r>
            <w:r w:rsidRPr="00B5781C">
              <w:rPr>
                <w:sz w:val="20"/>
              </w:rPr>
              <w:t xml:space="preserve"> </w:t>
            </w:r>
            <w:r w:rsidRPr="00B5781C">
              <w:rPr>
                <w:sz w:val="18"/>
              </w:rPr>
              <w:t xml:space="preserve">    </w:t>
            </w:r>
            <w:r w:rsidRPr="00B5781C">
              <w:rPr>
                <w:sz w:val="20"/>
              </w:rPr>
              <w:t xml:space="preserve"> </w:t>
            </w:r>
            <w:r>
              <w:t xml:space="preserve"> </w:t>
            </w:r>
            <w:sdt>
              <w:sdtPr>
                <w:rPr>
                  <w:sz w:val="28"/>
                </w:rPr>
                <w:id w:val="-6479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573AF" w:rsidRDefault="009573AF" w:rsidP="00D40FA2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5879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573AF" w:rsidRDefault="009573AF" w:rsidP="00D40FA2"/>
        </w:tc>
        <w:tc>
          <w:tcPr>
            <w:tcW w:w="673" w:type="pct"/>
            <w:vMerge/>
          </w:tcPr>
          <w:p w:rsidR="009573AF" w:rsidRDefault="009573AF" w:rsidP="00D40FA2"/>
        </w:tc>
      </w:tr>
      <w:tr w:rsidR="009573AF" w:rsidTr="00D40FA2">
        <w:trPr>
          <w:cantSplit/>
        </w:trPr>
        <w:tc>
          <w:tcPr>
            <w:tcW w:w="190" w:type="pct"/>
            <w:vMerge/>
          </w:tcPr>
          <w:p w:rsidR="009573AF" w:rsidRDefault="009573AF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1279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573AF" w:rsidRDefault="009573AF" w:rsidP="00D40FA2">
            <w:pPr>
              <w:keepLines/>
            </w:pPr>
            <w:r>
              <w:t>Scale of exposure:</w:t>
            </w:r>
          </w:p>
          <w:p w:rsidR="009573AF" w:rsidDel="007F3E98" w:rsidRDefault="00CA4161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573AF" w:rsidRDefault="009573AF" w:rsidP="00D40FA2"/>
        </w:tc>
        <w:tc>
          <w:tcPr>
            <w:tcW w:w="673" w:type="pct"/>
            <w:vMerge/>
          </w:tcPr>
          <w:p w:rsidR="009573AF" w:rsidRDefault="009573AF" w:rsidP="00D40FA2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Next/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Next/>
              <w:keepLines/>
            </w:pPr>
            <w:r>
              <w:t xml:space="preserve">Poor service to tenants </w:t>
            </w:r>
            <w:r w:rsidRPr="00160D88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160D88">
              <w:rPr>
                <w:i/>
              </w:rPr>
              <w:t>9)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21442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4738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 xml:space="preserve">Strategic / Board  </w:t>
            </w:r>
            <w:r w:rsidRPr="00FE58FA">
              <w:rPr>
                <w:sz w:val="18"/>
              </w:rPr>
              <w:t xml:space="preserve">   </w:t>
            </w:r>
            <w:r>
              <w:t xml:space="preserve">  </w:t>
            </w:r>
            <w:sdt>
              <w:sdtPr>
                <w:rPr>
                  <w:sz w:val="28"/>
                </w:rPr>
                <w:id w:val="-17410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7531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CA4161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Mishandling of complaints regarding service delivery </w:t>
            </w:r>
            <w:r w:rsidRPr="00160D88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160D88">
              <w:rPr>
                <w:i/>
              </w:rPr>
              <w:t>9)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8920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6447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 xml:space="preserve">Strategic / Board   </w:t>
            </w:r>
            <w:r w:rsidRPr="00FE58FA">
              <w:rPr>
                <w:sz w:val="18"/>
              </w:rPr>
              <w:t xml:space="preserve">   </w:t>
            </w:r>
            <w:r>
              <w:t xml:space="preserve"> </w:t>
            </w:r>
            <w:sdt>
              <w:sdtPr>
                <w:rPr>
                  <w:sz w:val="28"/>
                </w:rPr>
                <w:id w:val="-196803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28917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CA4161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Poor communication with tenants and other stakeholders </w:t>
            </w:r>
            <w:r w:rsidRPr="00160D88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160D88">
              <w:rPr>
                <w:i/>
              </w:rPr>
              <w:t>9)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9815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3284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 xml:space="preserve">Strategic / Board </w:t>
            </w:r>
            <w:r w:rsidRPr="00FE58FA">
              <w:rPr>
                <w:sz w:val="18"/>
              </w:rPr>
              <w:t xml:space="preserve">    </w:t>
            </w:r>
            <w:r>
              <w:t xml:space="preserve">  </w:t>
            </w:r>
            <w:sdt>
              <w:sdtPr>
                <w:rPr>
                  <w:sz w:val="28"/>
                </w:rPr>
                <w:id w:val="19551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62946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CA4161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Pr="00AC07D4" w:rsidRDefault="009B4814" w:rsidP="009B4814">
            <w:pPr>
              <w:keepLines/>
              <w:rPr>
                <w:i/>
              </w:rPr>
            </w:pPr>
            <w:r>
              <w:t xml:space="preserve">Lack of investment in existing stock </w:t>
            </w:r>
            <w:r w:rsidRPr="00E22D8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E22D8F">
              <w:rPr>
                <w:i/>
              </w:rPr>
              <w:t>9)</w:t>
            </w:r>
            <w:r>
              <w:rPr>
                <w:i/>
              </w:rPr>
              <w:t xml:space="preserve"> </w:t>
            </w:r>
            <w:r>
              <w:t xml:space="preserve">Failure to sustain adequate investment in existing stock whilst delivering cost efficiencies </w:t>
            </w:r>
            <w:r w:rsidRPr="00B05CED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B05CED">
              <w:rPr>
                <w:i/>
              </w:rPr>
              <w:t>17)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0059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4940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73AF" w:rsidTr="00D40FA2">
        <w:trPr>
          <w:cantSplit/>
        </w:trPr>
        <w:tc>
          <w:tcPr>
            <w:tcW w:w="190" w:type="pct"/>
            <w:vMerge/>
          </w:tcPr>
          <w:p w:rsidR="009573AF" w:rsidRDefault="009573AF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1279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573AF" w:rsidRDefault="009573AF" w:rsidP="00D40FA2">
            <w:pPr>
              <w:keepLines/>
            </w:pPr>
            <w:r>
              <w:t>Which risk map(s) is it tracked on:</w:t>
            </w:r>
          </w:p>
          <w:p w:rsidR="009573AF" w:rsidRDefault="009573AF" w:rsidP="00D40FA2">
            <w:pPr>
              <w:keepLines/>
            </w:pPr>
            <w:r>
              <w:t xml:space="preserve">Strategic / Board </w:t>
            </w:r>
            <w:r w:rsidRPr="00FE58FA">
              <w:rPr>
                <w:sz w:val="20"/>
              </w:rPr>
              <w:t xml:space="preserve">     </w:t>
            </w:r>
            <w:r>
              <w:t xml:space="preserve"> </w:t>
            </w:r>
            <w:sdt>
              <w:sdtPr>
                <w:rPr>
                  <w:sz w:val="28"/>
                </w:rPr>
                <w:id w:val="-48840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573AF" w:rsidRDefault="009573AF" w:rsidP="00D40FA2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6521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673" w:type="pct"/>
            <w:vMerge/>
          </w:tcPr>
          <w:p w:rsidR="009573AF" w:rsidRDefault="009573AF" w:rsidP="00D40FA2">
            <w:pPr>
              <w:keepLines/>
            </w:pPr>
          </w:p>
        </w:tc>
      </w:tr>
      <w:tr w:rsidR="009573AF" w:rsidTr="00D40FA2">
        <w:trPr>
          <w:cantSplit/>
        </w:trPr>
        <w:tc>
          <w:tcPr>
            <w:tcW w:w="190" w:type="pct"/>
            <w:vMerge/>
          </w:tcPr>
          <w:p w:rsidR="009573AF" w:rsidRDefault="009573AF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1279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573AF" w:rsidRDefault="009573AF" w:rsidP="00D40FA2">
            <w:pPr>
              <w:keepLines/>
            </w:pPr>
            <w:r>
              <w:t>Scale of exposure:</w:t>
            </w:r>
          </w:p>
          <w:p w:rsidR="009573AF" w:rsidDel="007F3E98" w:rsidRDefault="00CA4161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573AF" w:rsidRDefault="009573AF" w:rsidP="00D40FA2">
            <w:pPr>
              <w:keepLines/>
            </w:pPr>
          </w:p>
        </w:tc>
        <w:tc>
          <w:tcPr>
            <w:tcW w:w="673" w:type="pct"/>
            <w:vMerge/>
          </w:tcPr>
          <w:p w:rsidR="009573AF" w:rsidRDefault="009573AF" w:rsidP="00D40FA2">
            <w:pPr>
              <w:keepLines/>
            </w:pPr>
          </w:p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9B4814" w:rsidRPr="00EC20BF" w:rsidRDefault="009B4814" w:rsidP="009B4814">
            <w:pPr>
              <w:keepLines/>
            </w:pPr>
            <w:r w:rsidRPr="00EC20BF">
              <w:t xml:space="preserve">Inadequate assessment of costs </w:t>
            </w:r>
            <w:r>
              <w:t>o</w:t>
            </w:r>
            <w:r w:rsidRPr="00EC20BF">
              <w:t xml:space="preserve">f post-Grenfell remediation works </w:t>
            </w:r>
            <w:r w:rsidRPr="00EC20BF">
              <w:rPr>
                <w:i/>
              </w:rPr>
              <w:t>(pp. 5, 17)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3442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43725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 xml:space="preserve">Strategic / Board  </w:t>
            </w:r>
            <w:r w:rsidRPr="00FE58FA">
              <w:rPr>
                <w:sz w:val="18"/>
              </w:rPr>
              <w:t xml:space="preserve">    </w:t>
            </w:r>
            <w:r>
              <w:t xml:space="preserve"> </w:t>
            </w:r>
            <w:sdt>
              <w:sdtPr>
                <w:rPr>
                  <w:sz w:val="28"/>
                </w:rPr>
                <w:id w:val="-53920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4748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673" w:type="pct"/>
            <w:vMerge/>
          </w:tcPr>
          <w:p w:rsidR="009B4814" w:rsidRDefault="009B4814" w:rsidP="009B4814">
            <w:pPr>
              <w:keepLines/>
            </w:pP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CA4161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673" w:type="pct"/>
            <w:vMerge/>
          </w:tcPr>
          <w:p w:rsidR="009B4814" w:rsidRDefault="009B4814" w:rsidP="009B4814">
            <w:pPr>
              <w:keepLines/>
            </w:pPr>
          </w:p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Failure to reappraise business plans and plans for investment in existing stock in the light of post-Grenfell remediation costs </w:t>
            </w:r>
            <w:r w:rsidRPr="00B34661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B34661">
              <w:rPr>
                <w:i/>
              </w:rPr>
              <w:t>17)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8666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8066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 xml:space="preserve">Strategic / Board </w:t>
            </w:r>
            <w:r w:rsidRPr="00FE58FA">
              <w:rPr>
                <w:sz w:val="18"/>
              </w:rPr>
              <w:t xml:space="preserve">  </w:t>
            </w:r>
            <w:r w:rsidRPr="00FE58FA">
              <w:t xml:space="preserve">  </w:t>
            </w:r>
            <w:r>
              <w:t xml:space="preserve">  </w:t>
            </w:r>
            <w:sdt>
              <w:sdtPr>
                <w:rPr>
                  <w:sz w:val="28"/>
                </w:rPr>
                <w:id w:val="160684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20381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Pr="00B34661" w:rsidRDefault="009B4814" w:rsidP="009B4814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2B13B3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  <w:r>
              <w:t xml:space="preserve"> </w:t>
            </w:r>
          </w:p>
        </w:tc>
        <w:tc>
          <w:tcPr>
            <w:tcW w:w="530" w:type="pct"/>
            <w:vMerge w:val="restart"/>
          </w:tcPr>
          <w:p w:rsidR="009B4814" w:rsidRPr="00B34661" w:rsidRDefault="009B4814" w:rsidP="009B4814">
            <w:pPr>
              <w:keepLines/>
              <w:rPr>
                <w:b/>
              </w:rPr>
            </w:pPr>
            <w:r w:rsidRPr="00B34661">
              <w:rPr>
                <w:b/>
              </w:rPr>
              <w:t>Rents and rental market</w:t>
            </w:r>
            <w:r>
              <w:rPr>
                <w:b/>
              </w:rPr>
              <w:t>s</w:t>
            </w: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Incorrect application of, or exclusion or </w:t>
            </w:r>
            <w:proofErr w:type="gramStart"/>
            <w:r>
              <w:t>particular properties</w:t>
            </w:r>
            <w:proofErr w:type="gramEnd"/>
            <w:r>
              <w:t xml:space="preserve"> from rent reductions </w:t>
            </w:r>
            <w:r w:rsidRPr="00E22D8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E22D8F">
              <w:rPr>
                <w:i/>
              </w:rPr>
              <w:t>10)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6272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7700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-9127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6593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586B13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Cashflow volatility from fluctuating PRS rents and impact on Affordable Rents </w:t>
            </w:r>
            <w:r w:rsidRPr="00E22D8F">
              <w:rPr>
                <w:i/>
              </w:rPr>
              <w:t>(</w:t>
            </w:r>
            <w:r>
              <w:rPr>
                <w:i/>
              </w:rPr>
              <w:t xml:space="preserve">pp. 2, </w:t>
            </w:r>
            <w:r w:rsidRPr="00E22D8F">
              <w:rPr>
                <w:i/>
              </w:rPr>
              <w:t>10)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2534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3041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A505D" w:rsidRDefault="00FA505D" w:rsidP="00D40FA2">
            <w:pPr>
              <w:keepLines/>
            </w:pPr>
            <w:r>
              <w:t>Which risk map(s) is it tracked on:</w:t>
            </w:r>
          </w:p>
          <w:p w:rsidR="00FA505D" w:rsidRDefault="00FA505D" w:rsidP="00D40FA2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-120624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A505D" w:rsidRDefault="00FA505D" w:rsidP="00D40FA2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5329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673" w:type="pct"/>
            <w:vMerge/>
          </w:tcPr>
          <w:p w:rsidR="00FA505D" w:rsidRDefault="00FA505D" w:rsidP="00D40FA2">
            <w:pPr>
              <w:keepLines/>
            </w:pPr>
          </w:p>
        </w:tc>
      </w:tr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A505D" w:rsidRDefault="00FA505D" w:rsidP="00D40FA2">
            <w:pPr>
              <w:keepLines/>
            </w:pPr>
            <w:r>
              <w:t>Scale of exposure:</w:t>
            </w:r>
          </w:p>
          <w:p w:rsidR="00FA505D" w:rsidDel="007F3E98" w:rsidRDefault="00586B13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673" w:type="pct"/>
            <w:vMerge/>
          </w:tcPr>
          <w:p w:rsidR="00FA505D" w:rsidRDefault="00FA505D" w:rsidP="00D40FA2">
            <w:pPr>
              <w:keepLines/>
            </w:pPr>
          </w:p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Inadequate assessment of regional and product-specific rents, and resident expectations, ahead of investment commitments </w:t>
            </w:r>
            <w:r w:rsidRPr="00E22D8F">
              <w:rPr>
                <w:i/>
              </w:rPr>
              <w:t>(</w:t>
            </w:r>
            <w:r>
              <w:rPr>
                <w:i/>
              </w:rPr>
              <w:t xml:space="preserve">pp. 2, </w:t>
            </w:r>
            <w:r w:rsidRPr="00E22D8F">
              <w:rPr>
                <w:i/>
              </w:rPr>
              <w:t>10)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3896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2148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 xml:space="preserve">Strategic / Board </w:t>
            </w:r>
            <w:r w:rsidRPr="00FE58FA">
              <w:rPr>
                <w:sz w:val="18"/>
              </w:rPr>
              <w:t xml:space="preserve">    </w:t>
            </w:r>
            <w:r>
              <w:t xml:space="preserve">  </w:t>
            </w:r>
            <w:sdt>
              <w:sdtPr>
                <w:rPr>
                  <w:sz w:val="28"/>
                </w:rPr>
                <w:id w:val="-3511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6569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586B13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Lack of assessment of opportunity costs and risks of entering PRS market </w:t>
            </w:r>
            <w:r w:rsidRPr="00E22D8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E22D8F">
              <w:rPr>
                <w:i/>
              </w:rPr>
              <w:t>10)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22325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3474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A505D" w:rsidRDefault="00FA505D" w:rsidP="00D40FA2">
            <w:pPr>
              <w:keepLines/>
            </w:pPr>
            <w:r>
              <w:t>Which risk map(s) is it tracked on:</w:t>
            </w:r>
          </w:p>
          <w:p w:rsidR="00FA505D" w:rsidRDefault="00FA505D" w:rsidP="00D40FA2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-16387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A505D" w:rsidRDefault="00FA505D" w:rsidP="00D40FA2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0143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A505D" w:rsidRDefault="00FA505D" w:rsidP="00D40FA2"/>
        </w:tc>
        <w:tc>
          <w:tcPr>
            <w:tcW w:w="673" w:type="pct"/>
            <w:vMerge/>
          </w:tcPr>
          <w:p w:rsidR="00FA505D" w:rsidRDefault="00FA505D" w:rsidP="00D40FA2"/>
        </w:tc>
      </w:tr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</w:tcBorders>
          </w:tcPr>
          <w:p w:rsidR="00FA505D" w:rsidRDefault="00FA505D" w:rsidP="00D40FA2">
            <w:pPr>
              <w:keepLines/>
            </w:pPr>
            <w:r>
              <w:t>Scale of exposure:</w:t>
            </w:r>
          </w:p>
          <w:p w:rsidR="00FA505D" w:rsidRPr="00C46523" w:rsidDel="007F3E98" w:rsidRDefault="00586B13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A505D" w:rsidRDefault="00FA505D" w:rsidP="00D40FA2"/>
        </w:tc>
        <w:tc>
          <w:tcPr>
            <w:tcW w:w="673" w:type="pct"/>
            <w:vMerge/>
          </w:tcPr>
          <w:p w:rsidR="00FA505D" w:rsidRDefault="00FA505D" w:rsidP="00D40FA2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9B4814" w:rsidRPr="00B34661" w:rsidRDefault="009B4814" w:rsidP="009B4814">
            <w:pPr>
              <w:keepNext/>
              <w:keepLines/>
              <w:rPr>
                <w:b/>
              </w:rPr>
            </w:pPr>
            <w:r w:rsidRPr="00B34661">
              <w:rPr>
                <w:b/>
              </w:rPr>
              <w:t>Inflation</w:t>
            </w: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Next/>
              <w:keepLines/>
            </w:pPr>
            <w:r>
              <w:t xml:space="preserve">Business plan vulnerability to significant inflation pressures, including development and stock reinvestment programmes </w:t>
            </w:r>
            <w:r w:rsidRPr="0093686D">
              <w:rPr>
                <w:i/>
              </w:rPr>
              <w:t>(</w:t>
            </w:r>
            <w:r>
              <w:rPr>
                <w:i/>
              </w:rPr>
              <w:t xml:space="preserve">pp. 2, </w:t>
            </w:r>
            <w:r w:rsidRPr="0093686D">
              <w:rPr>
                <w:i/>
              </w:rPr>
              <w:t>11)</w:t>
            </w:r>
          </w:p>
        </w:tc>
        <w:tc>
          <w:tcPr>
            <w:tcW w:w="1146" w:type="pct"/>
          </w:tcPr>
          <w:p w:rsidR="009B4814" w:rsidRDefault="009B4814" w:rsidP="009B4814">
            <w:pPr>
              <w:keepNext/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Next/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20060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5629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Next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Next/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Next/>
              <w:keepLines/>
            </w:pPr>
          </w:p>
        </w:tc>
        <w:tc>
          <w:tcPr>
            <w:tcW w:w="1146" w:type="pct"/>
          </w:tcPr>
          <w:p w:rsidR="009B4814" w:rsidRDefault="009B4814" w:rsidP="009B4814">
            <w:pPr>
              <w:keepNext/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Next/>
              <w:keepLines/>
            </w:pPr>
            <w:r>
              <w:t xml:space="preserve">Strategic / Board </w:t>
            </w:r>
            <w:r w:rsidRPr="00FE58FA">
              <w:rPr>
                <w:sz w:val="20"/>
              </w:rPr>
              <w:t xml:space="preserve">     </w:t>
            </w:r>
            <w:r>
              <w:t xml:space="preserve"> </w:t>
            </w:r>
            <w:sdt>
              <w:sdtPr>
                <w:rPr>
                  <w:sz w:val="28"/>
                </w:rPr>
                <w:id w:val="108178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Next/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8753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Next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Next/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Next/>
              <w:keepLines/>
            </w:pP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9B4814" w:rsidRDefault="009B4814" w:rsidP="009B4814">
            <w:pPr>
              <w:keepNext/>
              <w:keepLines/>
            </w:pPr>
            <w:r>
              <w:t>Scale of exposure:</w:t>
            </w:r>
          </w:p>
          <w:p w:rsidR="009B4814" w:rsidDel="007F3E98" w:rsidRDefault="00586B13" w:rsidP="009B4814">
            <w:pPr>
              <w:keepNext/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Increasing costs of index-linked finance, including sale and leaseback arrangements </w:t>
            </w:r>
            <w:r w:rsidRPr="0093686D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93686D">
              <w:rPr>
                <w:i/>
              </w:rPr>
              <w:t>11)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7933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2964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20929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43486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586B13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9B4814" w:rsidRPr="00B34661" w:rsidRDefault="009B4814" w:rsidP="009B4814">
            <w:pPr>
              <w:keepLines/>
              <w:rPr>
                <w:b/>
              </w:rPr>
            </w:pPr>
            <w:r w:rsidRPr="00B34661">
              <w:rPr>
                <w:b/>
              </w:rPr>
              <w:t xml:space="preserve">Welfare reform* </w:t>
            </w: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Reduced income due to effects of welfare reform* on rent arrears and rent lost to voids </w:t>
            </w:r>
            <w:r w:rsidRPr="00F71125">
              <w:rPr>
                <w:i/>
              </w:rPr>
              <w:t>(</w:t>
            </w:r>
            <w:r>
              <w:rPr>
                <w:i/>
              </w:rPr>
              <w:t xml:space="preserve">pp. 2, </w:t>
            </w:r>
            <w:r w:rsidRPr="00F71125">
              <w:rPr>
                <w:i/>
              </w:rPr>
              <w:t>12</w:t>
            </w:r>
            <w:r>
              <w:rPr>
                <w:i/>
              </w:rPr>
              <w:t>, 13</w:t>
            </w:r>
            <w:r w:rsidRPr="00F71125">
              <w:rPr>
                <w:i/>
              </w:rPr>
              <w:t>)</w:t>
            </w:r>
          </w:p>
        </w:tc>
        <w:tc>
          <w:tcPr>
            <w:tcW w:w="1146" w:type="pct"/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32841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19056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3543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661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586B13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Failure to assess </w:t>
            </w:r>
            <w:proofErr w:type="gramStart"/>
            <w:r>
              <w:t>particular impacts</w:t>
            </w:r>
            <w:proofErr w:type="gramEnd"/>
            <w:r>
              <w:t xml:space="preserve"> of welfare reform* by location, property type and household size </w:t>
            </w:r>
            <w:r w:rsidRPr="00F71125">
              <w:rPr>
                <w:i/>
              </w:rPr>
              <w:t>(</w:t>
            </w:r>
            <w:r>
              <w:rPr>
                <w:i/>
              </w:rPr>
              <w:t xml:space="preserve">pp. </w:t>
            </w:r>
            <w:r w:rsidRPr="00F71125">
              <w:rPr>
                <w:i/>
              </w:rPr>
              <w:t>12</w:t>
            </w:r>
            <w:r>
              <w:rPr>
                <w:i/>
              </w:rPr>
              <w:t>, 13</w:t>
            </w:r>
            <w:r w:rsidRPr="00F71125">
              <w:rPr>
                <w:i/>
              </w:rPr>
              <w:t>)</w:t>
            </w:r>
          </w:p>
        </w:tc>
        <w:tc>
          <w:tcPr>
            <w:tcW w:w="1146" w:type="pct"/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7560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9359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</w:tcPr>
          <w:p w:rsidR="007F3E98" w:rsidRDefault="007F3E98" w:rsidP="00D40FA2">
            <w:pPr>
              <w:keepLines/>
            </w:pPr>
            <w:r>
              <w:t>Which risk map(s) is it tracked on:</w:t>
            </w:r>
          </w:p>
          <w:p w:rsidR="007F3E98" w:rsidRDefault="00AC23A4" w:rsidP="00D40FA2">
            <w:pPr>
              <w:keepLines/>
            </w:pPr>
            <w:r>
              <w:t>Strategic / Board</w:t>
            </w:r>
            <w:r w:rsidR="007F3E98">
              <w:t xml:space="preserve"> </w:t>
            </w:r>
            <w:r w:rsidR="007F3E98" w:rsidRPr="00FE58FA">
              <w:rPr>
                <w:sz w:val="18"/>
              </w:rPr>
              <w:t xml:space="preserve">  </w:t>
            </w:r>
            <w:r w:rsidR="007F3E98" w:rsidRPr="00B5781C">
              <w:rPr>
                <w:sz w:val="24"/>
              </w:rPr>
              <w:t xml:space="preserve">  </w:t>
            </w:r>
            <w:r w:rsidR="007F3E98" w:rsidRPr="00FE58FA">
              <w:rPr>
                <w:sz w:val="18"/>
              </w:rPr>
              <w:t xml:space="preserve"> </w:t>
            </w:r>
            <w:r w:rsidR="007F3E98">
              <w:t xml:space="preserve"> </w:t>
            </w:r>
            <w:sdt>
              <w:sdtPr>
                <w:rPr>
                  <w:sz w:val="28"/>
                </w:rPr>
                <w:id w:val="6579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   </w:t>
            </w:r>
          </w:p>
          <w:p w:rsidR="007F3E98" w:rsidRDefault="00AC23A4" w:rsidP="00D40FA2">
            <w:pPr>
              <w:keepLines/>
            </w:pPr>
            <w:r>
              <w:t xml:space="preserve">Operational              </w:t>
            </w:r>
            <w:r w:rsidR="007F3E9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2636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</w:t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AC23A4" w:rsidRDefault="00F73A64" w:rsidP="00D40FA2">
            <w:pPr>
              <w:keepLines/>
            </w:pPr>
            <w:r>
              <w:t>Scale of exposure</w:t>
            </w:r>
            <w:r w:rsidR="00AC23A4">
              <w:t>:</w:t>
            </w:r>
          </w:p>
          <w:p w:rsidR="007F3E98" w:rsidDel="007F3E98" w:rsidRDefault="00586B13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>Increased income collection costs due to effects of welfare reform*</w:t>
            </w:r>
            <w:r w:rsidRPr="000D3EFE">
              <w:rPr>
                <w:i/>
              </w:rPr>
              <w:t xml:space="preserve"> (</w:t>
            </w:r>
            <w:r>
              <w:rPr>
                <w:i/>
              </w:rPr>
              <w:t>p.</w:t>
            </w:r>
            <w:r w:rsidRPr="000D3EFE">
              <w:rPr>
                <w:i/>
              </w:rPr>
              <w:t>14)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0988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2048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12362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5855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586B13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9B4814" w:rsidRPr="00B34661" w:rsidRDefault="009B4814" w:rsidP="009B4814">
            <w:pPr>
              <w:keepLines/>
              <w:rPr>
                <w:b/>
              </w:rPr>
            </w:pPr>
            <w:r w:rsidRPr="00B34661">
              <w:rPr>
                <w:b/>
              </w:rPr>
              <w:t>Supported housing</w:t>
            </w: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Risk of reductions in net income due to continued pressures on local authority funding, rent cuts, National Living Wage and impact of LHA cap </w:t>
            </w:r>
            <w:r w:rsidRPr="000D3EFE">
              <w:rPr>
                <w:i/>
              </w:rPr>
              <w:t>(</w:t>
            </w:r>
            <w:r>
              <w:rPr>
                <w:i/>
              </w:rPr>
              <w:t xml:space="preserve">pp. 3, </w:t>
            </w:r>
            <w:r w:rsidRPr="000D3EFE">
              <w:rPr>
                <w:i/>
              </w:rPr>
              <w:t>15)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6672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3503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-20418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7718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586B13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>Raised exposure to falls in net income in low-value areas where rents and housing-benefit-eligible service charges are [</w:t>
            </w:r>
            <w:r w:rsidRPr="002E78B6">
              <w:rPr>
                <w:i/>
              </w:rPr>
              <w:t>relatively</w:t>
            </w:r>
            <w:r w:rsidRPr="002E78B6">
              <w:t>]</w:t>
            </w:r>
            <w:r>
              <w:t xml:space="preserve"> high </w:t>
            </w:r>
            <w:r w:rsidRPr="000D3EFE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0D3EFE">
              <w:rPr>
                <w:i/>
              </w:rPr>
              <w:t>15)</w:t>
            </w:r>
          </w:p>
        </w:tc>
        <w:tc>
          <w:tcPr>
            <w:tcW w:w="1146" w:type="pct"/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1524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25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</w:tcPr>
          <w:p w:rsidR="009B4814" w:rsidRDefault="009B4814" w:rsidP="009B4814">
            <w:pPr>
              <w:keepLines/>
            </w:pPr>
            <w:r>
              <w:t>Which risk map(s) is it tracked on:</w:t>
            </w:r>
          </w:p>
          <w:p w:rsidR="009B4814" w:rsidRDefault="009B4814" w:rsidP="009B4814">
            <w:pPr>
              <w:keepLines/>
            </w:pPr>
            <w:r>
              <w:t xml:space="preserve">Strategic / Board </w:t>
            </w:r>
            <w:r w:rsidRPr="00FE58FA">
              <w:rPr>
                <w:sz w:val="20"/>
              </w:rPr>
              <w:t xml:space="preserve">     </w:t>
            </w:r>
            <w:r>
              <w:t xml:space="preserve"> </w:t>
            </w:r>
            <w:sdt>
              <w:sdtPr>
                <w:rPr>
                  <w:sz w:val="28"/>
                </w:rPr>
                <w:id w:val="-20296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9B4814" w:rsidRDefault="009B4814" w:rsidP="009B4814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7870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9B4814" w:rsidRDefault="009B4814" w:rsidP="009B4814">
            <w:pPr>
              <w:keepLines/>
            </w:pPr>
            <w:r>
              <w:t>Scale of exposure:</w:t>
            </w:r>
          </w:p>
          <w:p w:rsidR="009B4814" w:rsidDel="007F3E98" w:rsidRDefault="00586B13" w:rsidP="009B4814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9B4814" w:rsidRDefault="009B4814" w:rsidP="009B4814"/>
        </w:tc>
        <w:tc>
          <w:tcPr>
            <w:tcW w:w="673" w:type="pct"/>
            <w:vMerge/>
          </w:tcPr>
          <w:p w:rsidR="009B4814" w:rsidRDefault="009B4814" w:rsidP="009B4814"/>
        </w:tc>
      </w:tr>
      <w:tr w:rsidR="009B4814" w:rsidTr="00D40FA2">
        <w:trPr>
          <w:cantSplit/>
        </w:trPr>
        <w:tc>
          <w:tcPr>
            <w:tcW w:w="190" w:type="pct"/>
            <w:vMerge w:val="restart"/>
          </w:tcPr>
          <w:p w:rsidR="009B4814" w:rsidRDefault="009B4814" w:rsidP="009B4814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9B4814" w:rsidRDefault="009B4814" w:rsidP="009B4814">
            <w:pPr>
              <w:keepLines/>
            </w:pPr>
          </w:p>
        </w:tc>
        <w:tc>
          <w:tcPr>
            <w:tcW w:w="1279" w:type="pct"/>
            <w:vMerge w:val="restart"/>
          </w:tcPr>
          <w:p w:rsidR="009B4814" w:rsidRDefault="009B4814" w:rsidP="009B4814">
            <w:pPr>
              <w:keepLines/>
            </w:pPr>
            <w:r>
              <w:t xml:space="preserve">Plans for top-up funds and funding for short-term and emergency supported housing prove to be inadequate </w:t>
            </w:r>
            <w:r w:rsidRPr="000D3EFE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0D3EFE">
              <w:rPr>
                <w:i/>
              </w:rPr>
              <w:t>15)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9B4814" w:rsidRDefault="009B4814" w:rsidP="009B4814">
            <w:pPr>
              <w:keepLines/>
            </w:pPr>
            <w:r>
              <w:t xml:space="preserve">Are we exposed to this risk?     </w:t>
            </w:r>
          </w:p>
          <w:p w:rsidR="009B4814" w:rsidRDefault="009B4814" w:rsidP="009B4814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85391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0461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9B4814" w:rsidRDefault="009B4814" w:rsidP="009B48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7F3E98" w:rsidRDefault="007F3E98" w:rsidP="00D40FA2">
            <w:pPr>
              <w:keepLines/>
            </w:pPr>
            <w:r>
              <w:t>Which risk map(s) is it tracked on:</w:t>
            </w:r>
          </w:p>
          <w:p w:rsidR="007F3E98" w:rsidRDefault="00AC23A4" w:rsidP="00D40FA2">
            <w:pPr>
              <w:keepLines/>
            </w:pPr>
            <w:r>
              <w:t>Strategic / Board</w:t>
            </w:r>
            <w:r w:rsidR="007F3E98" w:rsidRPr="00FE58FA">
              <w:rPr>
                <w:sz w:val="20"/>
              </w:rPr>
              <w:t xml:space="preserve">      </w:t>
            </w:r>
            <w:r w:rsidR="007F3E98">
              <w:t xml:space="preserve"> </w:t>
            </w:r>
            <w:sdt>
              <w:sdtPr>
                <w:rPr>
                  <w:sz w:val="28"/>
                </w:rPr>
                <w:id w:val="-8032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   </w:t>
            </w:r>
          </w:p>
          <w:p w:rsidR="007F3E98" w:rsidRDefault="00AC23A4" w:rsidP="00D40FA2">
            <w:pPr>
              <w:keepLines/>
            </w:pPr>
            <w:r>
              <w:t xml:space="preserve">Operational              </w:t>
            </w:r>
            <w:r w:rsidR="007F3E9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6477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</w:t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</w:tcBorders>
          </w:tcPr>
          <w:p w:rsidR="00AC23A4" w:rsidRDefault="00F73A64" w:rsidP="00D40FA2">
            <w:pPr>
              <w:keepLines/>
            </w:pPr>
            <w:r>
              <w:t>Scale of exposure</w:t>
            </w:r>
            <w:r w:rsidR="00AC23A4">
              <w:t>:</w:t>
            </w:r>
          </w:p>
          <w:p w:rsidR="007F3E98" w:rsidDel="007F3E98" w:rsidRDefault="00586B13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Income and cost pressures lead to difficulties in maintaining compliance with both social housing and care regulatory standards and statutory requirements </w:t>
            </w:r>
            <w:r w:rsidRPr="000D3EFE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0D3EFE">
              <w:rPr>
                <w:i/>
              </w:rPr>
              <w:t>15)</w:t>
            </w:r>
          </w:p>
        </w:tc>
        <w:tc>
          <w:tcPr>
            <w:tcW w:w="1146" w:type="pct"/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9030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43028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 xml:space="preserve">Strategic / Board </w:t>
            </w:r>
            <w:r w:rsidRPr="00FE58FA">
              <w:rPr>
                <w:sz w:val="20"/>
              </w:rPr>
              <w:t xml:space="preserve">     </w:t>
            </w:r>
            <w:r>
              <w:t xml:space="preserve"> </w:t>
            </w:r>
            <w:sdt>
              <w:sdtPr>
                <w:rPr>
                  <w:sz w:val="28"/>
                </w:rPr>
                <w:id w:val="-10507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54804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F76028" w:rsidRPr="00B34661" w:rsidRDefault="00F76028" w:rsidP="00F76028">
            <w:pPr>
              <w:keepLines/>
              <w:rPr>
                <w:b/>
              </w:rPr>
            </w:pPr>
            <w:r w:rsidRPr="00B34661">
              <w:rPr>
                <w:b/>
              </w:rPr>
              <w:t>Cost efficiencies</w:t>
            </w: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  <w:rPr>
                <w:i/>
              </w:rPr>
            </w:pPr>
            <w:r>
              <w:t xml:space="preserve">Failure to deliver planned savings programmes </w:t>
            </w:r>
            <w:r w:rsidRPr="00B05CED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B05CED">
              <w:rPr>
                <w:i/>
              </w:rPr>
              <w:t>16)</w:t>
            </w:r>
          </w:p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5839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6812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 xml:space="preserve">Strategic / Board </w:t>
            </w:r>
            <w:r w:rsidRPr="00FE58FA">
              <w:rPr>
                <w:sz w:val="20"/>
              </w:rPr>
              <w:t xml:space="preserve">     </w:t>
            </w:r>
            <w:r>
              <w:t xml:space="preserve"> </w:t>
            </w:r>
            <w:sdt>
              <w:sdtPr>
                <w:rPr>
                  <w:sz w:val="28"/>
                </w:rPr>
                <w:id w:val="-21469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9068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Failure to identify contingency plans for delays in, or non-delivery of, savings programmes </w:t>
            </w:r>
            <w:r w:rsidRPr="00B05CED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B05CED">
              <w:rPr>
                <w:i/>
              </w:rPr>
              <w:t>16)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92330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7338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 xml:space="preserve">Strategic / Board </w:t>
            </w:r>
            <w:r w:rsidRPr="00FE58FA">
              <w:rPr>
                <w:sz w:val="20"/>
              </w:rPr>
              <w:t xml:space="preserve">     </w:t>
            </w:r>
            <w:r>
              <w:t xml:space="preserve"> </w:t>
            </w:r>
            <w:sdt>
              <w:sdtPr>
                <w:rPr>
                  <w:sz w:val="28"/>
                </w:rPr>
                <w:id w:val="12875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04417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RPr="004D3237" w:rsidTr="00D40FA2">
        <w:trPr>
          <w:cantSplit/>
        </w:trPr>
        <w:tc>
          <w:tcPr>
            <w:tcW w:w="5000" w:type="pct"/>
            <w:gridSpan w:val="6"/>
          </w:tcPr>
          <w:p w:rsidR="00F76028" w:rsidRPr="004D3237" w:rsidRDefault="00F76028" w:rsidP="00F76028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 Operational risks – new supply and diversification</w:t>
            </w:r>
          </w:p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F76028" w:rsidRPr="00D8079B" w:rsidRDefault="00F76028" w:rsidP="00F76028">
            <w:pPr>
              <w:keepLines/>
              <w:rPr>
                <w:b/>
              </w:rPr>
            </w:pPr>
            <w:r w:rsidRPr="00D8079B">
              <w:rPr>
                <w:b/>
              </w:rPr>
              <w:t>New supply</w:t>
            </w: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Income from sales** is lower than assumed in business plan due to sudden and significant market slow-downs, or market shut-downs </w:t>
            </w:r>
            <w:r w:rsidRPr="00611AAF">
              <w:rPr>
                <w:i/>
              </w:rPr>
              <w:t>(</w:t>
            </w:r>
            <w:r>
              <w:rPr>
                <w:i/>
              </w:rPr>
              <w:t xml:space="preserve">pp. 2, 3, 5, </w:t>
            </w:r>
            <w:r w:rsidRPr="00611AAF">
              <w:rPr>
                <w:i/>
              </w:rPr>
              <w:t>19)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8843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9632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/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/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 xml:space="preserve">Strategic / Board  </w:t>
            </w:r>
            <w:r w:rsidRPr="00FE58FA">
              <w:rPr>
                <w:sz w:val="18"/>
              </w:rPr>
              <w:t xml:space="preserve">    </w:t>
            </w:r>
            <w:r>
              <w:t xml:space="preserve"> </w:t>
            </w:r>
            <w:sdt>
              <w:sdtPr>
                <w:rPr>
                  <w:sz w:val="28"/>
                </w:rPr>
                <w:id w:val="-28057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4574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Pr="00BF2210" w:rsidRDefault="00F76028" w:rsidP="00F76028">
            <w:pPr>
              <w:keepLines/>
              <w:rPr>
                <w:i/>
              </w:rPr>
            </w:pPr>
            <w:r>
              <w:t xml:space="preserve">Lack of appropriate skills to manage a housing market downturn </w:t>
            </w:r>
            <w:r w:rsidRPr="00611AA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611AAF">
              <w:rPr>
                <w:i/>
              </w:rPr>
              <w:t>19)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8374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2993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/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/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 xml:space="preserve">Strategic / Board  </w:t>
            </w:r>
            <w:r w:rsidRPr="00FE58FA">
              <w:rPr>
                <w:sz w:val="18"/>
              </w:rPr>
              <w:t xml:space="preserve">    </w:t>
            </w:r>
            <w:r>
              <w:t xml:space="preserve"> </w:t>
            </w:r>
            <w:sdt>
              <w:sdtPr>
                <w:rPr>
                  <w:sz w:val="28"/>
                </w:rPr>
                <w:id w:val="-26616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9915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  <w:rPr>
                <w:i/>
              </w:rPr>
            </w:pPr>
            <w:r>
              <w:t xml:space="preserve">Asset sales are relied upon to meet current and future interest payments. As highlighted by the EBITDA-MRI-SH interest cover ratio </w:t>
            </w:r>
            <w:r w:rsidRPr="00611AA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611AAF">
              <w:rPr>
                <w:i/>
              </w:rPr>
              <w:t>19)</w:t>
            </w: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50641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0253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 xml:space="preserve">Strategic / Board </w:t>
            </w:r>
            <w:r w:rsidRPr="00FE58FA">
              <w:rPr>
                <w:sz w:val="20"/>
              </w:rPr>
              <w:t xml:space="preserve">     </w:t>
            </w:r>
            <w:r>
              <w:t xml:space="preserve"> </w:t>
            </w:r>
            <w:sdt>
              <w:sdtPr>
                <w:rPr>
                  <w:sz w:val="28"/>
                </w:rPr>
                <w:id w:val="-76631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32528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586B13">
        <w:trPr>
          <w:cantSplit/>
          <w:trHeight w:val="892"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A significant increase in development ambition is not matched by appropriate skills </w:t>
            </w:r>
            <w:r w:rsidRPr="002532FC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2532FC">
              <w:rPr>
                <w:i/>
              </w:rPr>
              <w:t>20)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6570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7184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7F3E98" w:rsidRDefault="007F3E98" w:rsidP="00D40FA2">
            <w:pPr>
              <w:keepLines/>
            </w:pPr>
            <w:r>
              <w:t>Which risk map(s) is it tracked on:</w:t>
            </w:r>
          </w:p>
          <w:p w:rsidR="007F3E98" w:rsidRDefault="00AC23A4" w:rsidP="00D40FA2">
            <w:pPr>
              <w:keepLines/>
            </w:pPr>
            <w:r>
              <w:t>Strategic / Board</w:t>
            </w:r>
            <w:r w:rsidR="007F3E98" w:rsidRPr="00FE58FA">
              <w:rPr>
                <w:sz w:val="20"/>
              </w:rPr>
              <w:t xml:space="preserve">      </w:t>
            </w:r>
            <w:r w:rsidR="007F3E98">
              <w:t xml:space="preserve"> </w:t>
            </w:r>
            <w:sdt>
              <w:sdtPr>
                <w:rPr>
                  <w:sz w:val="28"/>
                </w:rPr>
                <w:id w:val="-200373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   </w:t>
            </w:r>
          </w:p>
          <w:p w:rsidR="007F3E98" w:rsidRDefault="00AC23A4" w:rsidP="00D40FA2">
            <w:pPr>
              <w:keepLines/>
            </w:pPr>
            <w:r>
              <w:t xml:space="preserve">Operational              </w:t>
            </w:r>
            <w:r w:rsidR="007F3E9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9218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</w:t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AC23A4" w:rsidRDefault="00F73A64" w:rsidP="00D40FA2">
            <w:pPr>
              <w:keepLines/>
            </w:pPr>
            <w:r>
              <w:t>Scale of exposure</w:t>
            </w:r>
            <w:r w:rsidR="00AC23A4">
              <w:t>:</w:t>
            </w:r>
          </w:p>
          <w:p w:rsidR="007F3E98" w:rsidRDefault="00586B13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Acquired land </w:t>
            </w:r>
            <w:r w:rsidRPr="002E78B6">
              <w:t>[</w:t>
            </w:r>
            <w:r w:rsidRPr="002E78B6">
              <w:rPr>
                <w:i/>
              </w:rPr>
              <w:t>with or without planning permission, and work-in progress</w:t>
            </w:r>
            <w:r w:rsidRPr="002E78B6">
              <w:t>]</w:t>
            </w:r>
            <w:r>
              <w:t xml:space="preserve"> is impaired following housing market downturn </w:t>
            </w:r>
            <w:r w:rsidRPr="00611AA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611AAF">
              <w:rPr>
                <w:i/>
              </w:rPr>
              <w:t>20)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212757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796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18037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27840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Robust mitigation strategies are not in place to respond to problems arising in the development programme </w:t>
            </w:r>
            <w:r w:rsidRPr="002532FC">
              <w:rPr>
                <w:i/>
              </w:rPr>
              <w:t>(</w:t>
            </w:r>
            <w:r>
              <w:rPr>
                <w:i/>
              </w:rPr>
              <w:t xml:space="preserve">pp. 3, </w:t>
            </w:r>
            <w:r w:rsidRPr="002532FC">
              <w:rPr>
                <w:i/>
              </w:rPr>
              <w:t>20)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65305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83706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-20811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15649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  <w:bookmarkStart w:id="2" w:name="_Hlk491089069"/>
          </w:p>
        </w:tc>
        <w:tc>
          <w:tcPr>
            <w:tcW w:w="530" w:type="pct"/>
            <w:vMerge w:val="restart"/>
          </w:tcPr>
          <w:p w:rsidR="00F76028" w:rsidRPr="00D8079B" w:rsidRDefault="00F76028" w:rsidP="00F76028">
            <w:pPr>
              <w:keepLines/>
              <w:rPr>
                <w:b/>
              </w:rPr>
            </w:pPr>
            <w:r w:rsidRPr="00D8079B">
              <w:rPr>
                <w:b/>
              </w:rPr>
              <w:t>New build quality</w:t>
            </w: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  <w:rPr>
                <w:i/>
              </w:rPr>
            </w:pPr>
            <w:r>
              <w:t xml:space="preserve">Build quality of new homes fails to meet relevant standards, planning requirements, and conditions of publicly funded </w:t>
            </w:r>
            <w:r w:rsidRPr="002532FC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2532FC">
              <w:rPr>
                <w:i/>
              </w:rPr>
              <w:t>20)</w:t>
            </w: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Pr="000573EA" w:rsidRDefault="00F76028" w:rsidP="00F76028">
            <w:pPr>
              <w:keepLines/>
              <w:rPr>
                <w:i/>
              </w:rPr>
            </w:pP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0580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385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A505D" w:rsidRDefault="00FA505D" w:rsidP="00D40FA2">
            <w:pPr>
              <w:keepLines/>
            </w:pPr>
            <w:r>
              <w:t>Which risk map(s) is it tracked on:</w:t>
            </w:r>
          </w:p>
          <w:p w:rsidR="00FA505D" w:rsidRDefault="00FA505D" w:rsidP="00D40FA2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7699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A505D" w:rsidRDefault="00FA505D" w:rsidP="00D40FA2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1465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A505D" w:rsidRDefault="00FA505D" w:rsidP="00D40FA2"/>
        </w:tc>
        <w:tc>
          <w:tcPr>
            <w:tcW w:w="673" w:type="pct"/>
            <w:vMerge/>
          </w:tcPr>
          <w:p w:rsidR="00FA505D" w:rsidRDefault="00FA505D" w:rsidP="00D40FA2"/>
        </w:tc>
      </w:tr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A505D" w:rsidRDefault="00FA505D" w:rsidP="00D40FA2">
            <w:pPr>
              <w:keepLines/>
            </w:pPr>
            <w:r>
              <w:t>Scale of exposure:</w:t>
            </w:r>
          </w:p>
          <w:p w:rsidR="00FA505D" w:rsidDel="007F3E98" w:rsidRDefault="00586B13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A505D" w:rsidRDefault="00FA505D" w:rsidP="00D40FA2"/>
        </w:tc>
        <w:tc>
          <w:tcPr>
            <w:tcW w:w="673" w:type="pct"/>
            <w:vMerge/>
          </w:tcPr>
          <w:p w:rsidR="00FA505D" w:rsidRDefault="00FA505D" w:rsidP="00D40FA2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Inadequate management of contracts for procurement of new homes leads to inappropriate build quality </w:t>
            </w:r>
            <w:r w:rsidRPr="005A28F9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5A28F9">
              <w:rPr>
                <w:i/>
              </w:rPr>
              <w:t>20)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5943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5778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B5781C">
              <w:rPr>
                <w:sz w:val="18"/>
              </w:rPr>
              <w:t xml:space="preserve">    </w:t>
            </w:r>
            <w:r w:rsidRPr="00B5781C">
              <w:t xml:space="preserve">  </w:t>
            </w:r>
            <w:r>
              <w:t xml:space="preserve"> </w:t>
            </w:r>
            <w:sdt>
              <w:sdtPr>
                <w:rPr>
                  <w:sz w:val="28"/>
                </w:rPr>
                <w:id w:val="-34246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2901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Increased resources required to manage defects, rectify problems and handle complaints in new build schemes </w:t>
            </w:r>
            <w:r w:rsidRPr="00D10967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D10967">
              <w:rPr>
                <w:i/>
              </w:rPr>
              <w:t>20)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03688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4071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189214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37805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F76028" w:rsidRPr="00D8079B" w:rsidRDefault="00F76028" w:rsidP="00F76028">
            <w:pPr>
              <w:keepLines/>
              <w:rPr>
                <w:b/>
              </w:rPr>
            </w:pPr>
            <w:r w:rsidRPr="00D8079B">
              <w:rPr>
                <w:b/>
              </w:rPr>
              <w:t>Diversification</w:t>
            </w:r>
            <w:r w:rsidRPr="00ED620F">
              <w:t>***</w:t>
            </w:r>
          </w:p>
        </w:tc>
        <w:tc>
          <w:tcPr>
            <w:tcW w:w="1279" w:type="pct"/>
            <w:vMerge w:val="restart"/>
          </w:tcPr>
          <w:p w:rsidR="00F76028" w:rsidRPr="00486BDD" w:rsidRDefault="00F76028" w:rsidP="00F76028">
            <w:pPr>
              <w:keepLines/>
              <w:rPr>
                <w:i/>
              </w:rPr>
            </w:pPr>
            <w:r>
              <w:t xml:space="preserve">Social housing assets are inadequately protected from guarantees, recourse and impairment effects involving non-registered entities </w:t>
            </w:r>
            <w:r w:rsidRPr="005A28F9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5A28F9">
              <w:rPr>
                <w:i/>
              </w:rPr>
              <w:t>21)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76622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8396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13536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9542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  <w:rPr>
                <w:i/>
              </w:rPr>
            </w:pPr>
            <w:r>
              <w:t xml:space="preserve">Investment in non-social housing activity is not consistent with charitable vires </w:t>
            </w:r>
            <w:r w:rsidRPr="00ED620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ED620F">
              <w:rPr>
                <w:i/>
              </w:rPr>
              <w:t>21)</w:t>
            </w: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  <w:rPr>
                <w:i/>
              </w:rPr>
            </w:pPr>
          </w:p>
          <w:p w:rsidR="00F76028" w:rsidRDefault="00F76028" w:rsidP="00F76028">
            <w:pPr>
              <w:keepLines/>
            </w:pPr>
          </w:p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lastRenderedPageBreak/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20159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0899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</w:t>
            </w:r>
            <w:r>
              <w:t xml:space="preserve">  </w:t>
            </w:r>
            <w:sdt>
              <w:sdtPr>
                <w:rPr>
                  <w:sz w:val="28"/>
                </w:rPr>
                <w:id w:val="6555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21275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Said investment produces a level of return that is below that commensurate with the risks involved </w:t>
            </w:r>
            <w:r w:rsidRPr="00ED620F">
              <w:rPr>
                <w:i/>
              </w:rPr>
              <w:t>(</w:t>
            </w:r>
            <w:r>
              <w:rPr>
                <w:i/>
              </w:rPr>
              <w:t xml:space="preserve">pp. 5, </w:t>
            </w:r>
            <w:r w:rsidRPr="00ED620F">
              <w:rPr>
                <w:i/>
              </w:rPr>
              <w:t>21)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9135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1418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</w:t>
            </w:r>
            <w:r>
              <w:t xml:space="preserve">  </w:t>
            </w:r>
            <w:sdt>
              <w:sdtPr>
                <w:rPr>
                  <w:sz w:val="28"/>
                </w:rPr>
                <w:id w:val="8203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5870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86B13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Said investment produces a level of return that is below that assumed in the business plan </w:t>
            </w:r>
            <w:r w:rsidRPr="00ED620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ED620F">
              <w:rPr>
                <w:i/>
              </w:rPr>
              <w:t>21)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71114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88606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1790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5001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E5324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Non-social housing business ventures fail completely </w:t>
            </w:r>
            <w:r w:rsidRPr="00ED620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ED620F">
              <w:rPr>
                <w:i/>
              </w:rPr>
              <w:t>21)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35283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21333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-16488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1844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E5324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Skills at executive and Board level are inadequate to proactively challenge performance in diverse ventures </w:t>
            </w:r>
            <w:r w:rsidRPr="00ED620F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ED620F">
              <w:rPr>
                <w:i/>
              </w:rPr>
              <w:t>21)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4442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81717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7F3E98" w:rsidRDefault="007F3E98" w:rsidP="00D40FA2">
            <w:pPr>
              <w:keepLines/>
            </w:pPr>
            <w:r>
              <w:t>Which risk map(s) is it tracked on:</w:t>
            </w:r>
          </w:p>
          <w:p w:rsidR="007F3E98" w:rsidRDefault="00AC23A4" w:rsidP="00D40FA2">
            <w:pPr>
              <w:keepLines/>
            </w:pPr>
            <w:r>
              <w:t>Strategic / Board</w:t>
            </w:r>
            <w:r w:rsidR="007F3E98" w:rsidRPr="00FE58FA">
              <w:rPr>
                <w:sz w:val="20"/>
              </w:rPr>
              <w:t xml:space="preserve">      </w:t>
            </w:r>
            <w:r w:rsidR="007F3E98">
              <w:t xml:space="preserve"> </w:t>
            </w:r>
            <w:sdt>
              <w:sdtPr>
                <w:rPr>
                  <w:sz w:val="28"/>
                </w:rPr>
                <w:id w:val="11577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   </w:t>
            </w:r>
          </w:p>
          <w:p w:rsidR="007F3E98" w:rsidDel="007F3E98" w:rsidRDefault="00AC23A4" w:rsidP="00D40FA2">
            <w:pPr>
              <w:keepLines/>
            </w:pPr>
            <w:r>
              <w:t xml:space="preserve">Operational              </w:t>
            </w:r>
            <w:r w:rsidR="007F3E9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51866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</w:t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</w:tcBorders>
          </w:tcPr>
          <w:p w:rsidR="00AC23A4" w:rsidRDefault="00F73A64" w:rsidP="00D40FA2">
            <w:pPr>
              <w:keepLines/>
            </w:pPr>
            <w:r>
              <w:t>Scale of exposure</w:t>
            </w:r>
            <w:r w:rsidR="00AC23A4">
              <w:t>:</w:t>
            </w:r>
          </w:p>
          <w:p w:rsidR="007F3E98" w:rsidRDefault="005E5324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A924F3" w:rsidRPr="004D3237" w:rsidTr="00D40FA2">
        <w:trPr>
          <w:cantSplit/>
        </w:trPr>
        <w:tc>
          <w:tcPr>
            <w:tcW w:w="5000" w:type="pct"/>
            <w:gridSpan w:val="6"/>
          </w:tcPr>
          <w:p w:rsidR="00A924F3" w:rsidRPr="004D3237" w:rsidRDefault="00AF4930" w:rsidP="00D40FA2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Financial and treasury management risks</w:t>
            </w:r>
          </w:p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F76028" w:rsidRPr="00D8079B" w:rsidRDefault="00F76028" w:rsidP="00F76028">
            <w:pPr>
              <w:keepLines/>
              <w:rPr>
                <w:b/>
              </w:rPr>
            </w:pPr>
            <w:r>
              <w:rPr>
                <w:b/>
              </w:rPr>
              <w:t>Treasury management</w:t>
            </w: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>Treasury management is ineffective in ensuring [</w:t>
            </w:r>
            <w:r w:rsidRPr="002E78B6">
              <w:rPr>
                <w:i/>
              </w:rPr>
              <w:t>timely</w:t>
            </w:r>
            <w:r>
              <w:t xml:space="preserve">] access to sufficient debt to meet liquidity requirements. </w:t>
            </w:r>
            <w:r w:rsidRPr="00086E68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086E68">
              <w:rPr>
                <w:i/>
              </w:rPr>
              <w:t>22)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4389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8684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-12008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59447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5E5324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Pr="002E78B6" w:rsidRDefault="00F76028" w:rsidP="00F76028">
            <w:pPr>
              <w:keepLines/>
            </w:pPr>
            <w:r w:rsidRPr="002E78B6">
              <w:t>Treasury management is ineffective in ensuring availability of sufficient [</w:t>
            </w:r>
            <w:r w:rsidRPr="002E78B6">
              <w:rPr>
                <w:i/>
              </w:rPr>
              <w:t>unencumbered</w:t>
            </w:r>
            <w:r w:rsidRPr="002E78B6">
              <w:t>] security [</w:t>
            </w:r>
            <w:r w:rsidRPr="002E78B6">
              <w:rPr>
                <w:i/>
              </w:rPr>
              <w:t>to access loan facilities</w:t>
            </w:r>
            <w:r w:rsidRPr="002E78B6">
              <w:t xml:space="preserve">] when required </w:t>
            </w:r>
            <w:r w:rsidRPr="002E78B6">
              <w:rPr>
                <w:i/>
              </w:rPr>
              <w:t>(p</w:t>
            </w:r>
            <w:r>
              <w:rPr>
                <w:i/>
              </w:rPr>
              <w:t>.</w:t>
            </w:r>
            <w:r w:rsidRPr="002E78B6">
              <w:rPr>
                <w:i/>
              </w:rPr>
              <w:t>22)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20404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8160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 xml:space="preserve">Strategic / Board </w:t>
            </w:r>
            <w:r w:rsidRPr="00FE58FA">
              <w:rPr>
                <w:sz w:val="18"/>
              </w:rPr>
              <w:t xml:space="preserve">     </w:t>
            </w:r>
            <w:r>
              <w:t xml:space="preserve"> </w:t>
            </w:r>
            <w:sdt>
              <w:sdtPr>
                <w:rPr>
                  <w:sz w:val="28"/>
                </w:rPr>
                <w:id w:val="54226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89811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RDefault="005E5324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Treasury management is ineffective in ensuring continued compliance with loan covenants </w:t>
            </w:r>
            <w:r w:rsidRPr="00086E68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086E68">
              <w:rPr>
                <w:i/>
              </w:rPr>
              <w:t>22)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3251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66501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A505D" w:rsidRDefault="00FA505D" w:rsidP="00D40FA2">
            <w:pPr>
              <w:keepLines/>
            </w:pPr>
            <w:r>
              <w:t>Which risk map(s) is it tracked on:</w:t>
            </w:r>
          </w:p>
          <w:p w:rsidR="00FA505D" w:rsidRDefault="00FA505D" w:rsidP="00D40FA2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</w:t>
            </w:r>
            <w:r w:rsidRPr="00FE58FA">
              <w:rPr>
                <w:sz w:val="18"/>
              </w:rPr>
              <w:t xml:space="preserve">   </w:t>
            </w:r>
            <w:r w:rsidRPr="00FE58FA">
              <w:t xml:space="preserve">  </w:t>
            </w:r>
            <w:r>
              <w:t xml:space="preserve"> </w:t>
            </w:r>
            <w:sdt>
              <w:sdtPr>
                <w:rPr>
                  <w:sz w:val="28"/>
                </w:rPr>
                <w:id w:val="-20405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A505D" w:rsidRDefault="00FA505D" w:rsidP="00D40FA2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9875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A505D" w:rsidRDefault="00FA505D" w:rsidP="00D40FA2"/>
        </w:tc>
        <w:tc>
          <w:tcPr>
            <w:tcW w:w="673" w:type="pct"/>
            <w:vMerge/>
          </w:tcPr>
          <w:p w:rsidR="00FA505D" w:rsidRDefault="00FA505D" w:rsidP="00D40FA2"/>
        </w:tc>
      </w:tr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A505D" w:rsidRDefault="00FA505D" w:rsidP="00D40FA2">
            <w:pPr>
              <w:keepLines/>
            </w:pPr>
            <w:r>
              <w:t>Scale of exposure:</w:t>
            </w:r>
          </w:p>
          <w:p w:rsidR="00FA505D" w:rsidDel="007F3E98" w:rsidRDefault="005E5324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A505D" w:rsidRDefault="00FA505D" w:rsidP="00D40FA2"/>
        </w:tc>
        <w:tc>
          <w:tcPr>
            <w:tcW w:w="673" w:type="pct"/>
            <w:vMerge/>
          </w:tcPr>
          <w:p w:rsidR="00FA505D" w:rsidRDefault="00FA505D" w:rsidP="00D40FA2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Poor understanding or mitigation of adverse impact on business plan of higher interest rates on floating rate existing debt and new debt </w:t>
            </w:r>
            <w:r w:rsidRPr="00086E68">
              <w:rPr>
                <w:i/>
              </w:rPr>
              <w:t>(</w:t>
            </w:r>
            <w:r>
              <w:rPr>
                <w:i/>
              </w:rPr>
              <w:t xml:space="preserve">pp. 2, 3, </w:t>
            </w:r>
            <w:r w:rsidRPr="00086E68">
              <w:rPr>
                <w:i/>
              </w:rPr>
              <w:t>22</w:t>
            </w:r>
            <w:r>
              <w:rPr>
                <w:i/>
              </w:rPr>
              <w:t>, 25</w:t>
            </w:r>
            <w:r w:rsidRPr="00086E68">
              <w:rPr>
                <w:i/>
              </w:rPr>
              <w:t>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7051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57127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12482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8790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F76028" w:rsidP="00F76028">
            <w:pPr>
              <w:keepLines/>
            </w:pP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F76028" w:rsidRPr="00D8079B" w:rsidRDefault="00F76028" w:rsidP="00F76028">
            <w:pPr>
              <w:keepLines/>
              <w:rPr>
                <w:b/>
              </w:rPr>
            </w:pPr>
            <w:r w:rsidRPr="00D8079B">
              <w:rPr>
                <w:b/>
              </w:rPr>
              <w:t>Existing debt</w:t>
            </w: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Inadequate and/or slow arrangements for refinancing debt due for repayment </w:t>
            </w:r>
            <w:r w:rsidRPr="00CB0324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CB0324">
              <w:rPr>
                <w:i/>
              </w:rPr>
              <w:t>23)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6012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5577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</w:t>
            </w:r>
            <w:r>
              <w:t xml:space="preserve">  </w:t>
            </w:r>
            <w:sdt>
              <w:sdtPr>
                <w:rPr>
                  <w:sz w:val="28"/>
                </w:rPr>
                <w:id w:val="-18214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2453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RPr="005E5324" w:rsidDel="007F3E98" w:rsidRDefault="00D945E1" w:rsidP="00F76028">
            <w:pPr>
              <w:keepLines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>[</w:t>
            </w:r>
            <w:r w:rsidRPr="002E78B6">
              <w:rPr>
                <w:i/>
              </w:rPr>
              <w:t>Increased costs</w:t>
            </w:r>
            <w:r w:rsidRPr="002E78B6">
              <w:t>]</w:t>
            </w:r>
            <w:r>
              <w:t xml:space="preserve"> as funders seek to recover short-falls resulting from low margins on existing debt.</w:t>
            </w:r>
            <w:r w:rsidRPr="00CB0324">
              <w:rPr>
                <w:i/>
              </w:rPr>
              <w:t xml:space="preserve"> (</w:t>
            </w:r>
            <w:r>
              <w:rPr>
                <w:i/>
              </w:rPr>
              <w:t>p.</w:t>
            </w:r>
            <w:r w:rsidRPr="00CB0324">
              <w:rPr>
                <w:i/>
              </w:rPr>
              <w:t>23)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9436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8627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56175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4131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D945E1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>[</w:t>
            </w:r>
            <w:r w:rsidRPr="002E78B6">
              <w:rPr>
                <w:i/>
              </w:rPr>
              <w:t>Failure to agree, in a timely manner</w:t>
            </w:r>
            <w:r>
              <w:rPr>
                <w:i/>
              </w:rPr>
              <w:t>,</w:t>
            </w:r>
            <w:r>
              <w:t xml:space="preserve">] new financial covenants following changes to reporting standards. </w:t>
            </w:r>
            <w:r w:rsidRPr="00654A04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654A04">
              <w:rPr>
                <w:i/>
              </w:rPr>
              <w:t>24)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3797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4482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-9675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7963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F84E10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Pr="008C7AD6" w:rsidRDefault="00F76028" w:rsidP="00F76028">
            <w:pPr>
              <w:keepLines/>
              <w:rPr>
                <w:i/>
              </w:rPr>
            </w:pPr>
            <w:r w:rsidRPr="002E78B6">
              <w:t xml:space="preserve">Exposure to counterparty risk </w:t>
            </w:r>
            <w:r>
              <w:rPr>
                <w:i/>
              </w:rPr>
              <w:t>[and</w:t>
            </w:r>
            <w:r w:rsidRPr="002E78B6">
              <w:rPr>
                <w:i/>
              </w:rPr>
              <w:t xml:space="preserve"> hence risk of non-availability of undrawn funds</w:t>
            </w:r>
            <w:r w:rsidRPr="002E78B6">
              <w:t>]</w:t>
            </w:r>
            <w:r>
              <w:t xml:space="preserve"> amongst new and existing funders. </w:t>
            </w:r>
            <w:r w:rsidRPr="00654A04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654A04">
              <w:rPr>
                <w:i/>
              </w:rPr>
              <w:t>24)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21444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207404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5247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963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F84E10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F76028" w:rsidRPr="00D8079B" w:rsidRDefault="00F76028" w:rsidP="00F76028">
            <w:pPr>
              <w:keepLines/>
              <w:rPr>
                <w:b/>
              </w:rPr>
            </w:pPr>
            <w:r w:rsidRPr="00D8079B">
              <w:rPr>
                <w:b/>
              </w:rPr>
              <w:t>New debt</w:t>
            </w:r>
          </w:p>
        </w:tc>
        <w:tc>
          <w:tcPr>
            <w:tcW w:w="1279" w:type="pct"/>
            <w:vMerge w:val="restart"/>
          </w:tcPr>
          <w:p w:rsidR="00F76028" w:rsidRPr="00D67AF1" w:rsidRDefault="00F76028" w:rsidP="00F76028">
            <w:pPr>
              <w:keepLines/>
              <w:rPr>
                <w:i/>
              </w:rPr>
            </w:pPr>
            <w:r>
              <w:t>Inadequate understanding [</w:t>
            </w:r>
            <w:r w:rsidRPr="002E78B6">
              <w:rPr>
                <w:i/>
              </w:rPr>
              <w:t>and inaccurate modelling</w:t>
            </w:r>
            <w:r w:rsidRPr="002E78B6">
              <w:t>]</w:t>
            </w:r>
            <w:r>
              <w:t xml:space="preserve"> of any indexing in financial instruments and sale and leaseback arrangements </w:t>
            </w:r>
            <w:r w:rsidRPr="00B76D66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B76D66">
              <w:rPr>
                <w:i/>
              </w:rPr>
              <w:t>25)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9720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3207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12475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3532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 w:val="restart"/>
          </w:tcPr>
          <w:p w:rsidR="00F76028" w:rsidRDefault="00F76028" w:rsidP="00F76028"/>
        </w:tc>
        <w:tc>
          <w:tcPr>
            <w:tcW w:w="673" w:type="pct"/>
            <w:vMerge w:val="restart"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F84E10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 w:val="restart"/>
          </w:tcPr>
          <w:p w:rsidR="00F76028" w:rsidRPr="00D67AF1" w:rsidRDefault="00F76028" w:rsidP="00F76028">
            <w:pPr>
              <w:keepLines/>
              <w:rPr>
                <w:i/>
              </w:rPr>
            </w:pPr>
            <w:r>
              <w:t xml:space="preserve">Inadequate design of funding arrangements intended to be off-balance sheet </w:t>
            </w:r>
            <w:r w:rsidRPr="00B76D66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B76D66">
              <w:rPr>
                <w:i/>
              </w:rPr>
              <w:t>25)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8288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6809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7F3E98" w:rsidRDefault="007F3E98" w:rsidP="00D40FA2">
            <w:pPr>
              <w:keepLines/>
            </w:pPr>
            <w:r>
              <w:t>Which risk map(s) is it tracked on:</w:t>
            </w:r>
          </w:p>
          <w:p w:rsidR="007F3E98" w:rsidRDefault="00AC23A4" w:rsidP="00D40FA2">
            <w:pPr>
              <w:keepLines/>
            </w:pPr>
            <w:r>
              <w:t>Strategic / Board</w:t>
            </w:r>
            <w:r w:rsidR="007F3E98" w:rsidRPr="00FE58FA">
              <w:rPr>
                <w:sz w:val="20"/>
              </w:rPr>
              <w:t xml:space="preserve">      </w:t>
            </w:r>
            <w:r w:rsidR="007F3E98">
              <w:t xml:space="preserve"> </w:t>
            </w:r>
            <w:sdt>
              <w:sdtPr>
                <w:rPr>
                  <w:sz w:val="28"/>
                </w:rPr>
                <w:id w:val="6353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   </w:t>
            </w:r>
          </w:p>
          <w:p w:rsidR="007F3E98" w:rsidRDefault="00AC23A4" w:rsidP="00D40FA2">
            <w:pPr>
              <w:keepLines/>
            </w:pPr>
            <w:r>
              <w:t xml:space="preserve">Operational              </w:t>
            </w:r>
            <w:r w:rsidR="007F3E9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8624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</w:t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AC23A4" w:rsidRDefault="00F73A64" w:rsidP="00D40FA2">
            <w:pPr>
              <w:keepLines/>
            </w:pPr>
            <w:r>
              <w:t>Scale of exposure</w:t>
            </w:r>
            <w:r w:rsidR="00AC23A4">
              <w:t>:</w:t>
            </w:r>
          </w:p>
          <w:p w:rsidR="007F3E98" w:rsidDel="007F3E98" w:rsidRDefault="00F84E10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F76028" w:rsidRPr="00D8079B" w:rsidRDefault="00F76028" w:rsidP="00F76028">
            <w:pPr>
              <w:keepLines/>
              <w:rPr>
                <w:b/>
              </w:rPr>
            </w:pPr>
            <w:r w:rsidRPr="00D8079B">
              <w:rPr>
                <w:b/>
              </w:rPr>
              <w:t>Hedging strategies</w:t>
            </w: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Insufficient cash or other security to cover mark-to-market exposures </w:t>
            </w:r>
            <w:r w:rsidRPr="002E78B6">
              <w:t>[</w:t>
            </w:r>
            <w:r w:rsidRPr="002E78B6">
              <w:rPr>
                <w:i/>
              </w:rPr>
              <w:t xml:space="preserve">as and when required], </w:t>
            </w:r>
            <w:r w:rsidRPr="002E78B6">
              <w:t>including at v</w:t>
            </w:r>
            <w:r>
              <w:t xml:space="preserve">ery short-notice. </w:t>
            </w:r>
            <w:r w:rsidRPr="0049608D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49608D">
              <w:rPr>
                <w:i/>
              </w:rPr>
              <w:t>26)</w:t>
            </w:r>
          </w:p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13419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-13112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-35142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782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F84E10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F76028" w:rsidRPr="00D8079B" w:rsidRDefault="00F76028" w:rsidP="00F76028">
            <w:pPr>
              <w:keepLines/>
              <w:rPr>
                <w:b/>
              </w:rPr>
            </w:pPr>
            <w:r w:rsidRPr="00D8079B">
              <w:rPr>
                <w:b/>
              </w:rPr>
              <w:t>Pensions</w:t>
            </w: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>Issues with scheme membership and legal obligations [</w:t>
            </w:r>
            <w:r w:rsidRPr="00267447">
              <w:rPr>
                <w:i/>
              </w:rPr>
              <w:t xml:space="preserve">including future increases in contributions </w:t>
            </w:r>
            <w:r>
              <w:rPr>
                <w:i/>
              </w:rPr>
              <w:t xml:space="preserve">and </w:t>
            </w:r>
            <w:r w:rsidRPr="00267447">
              <w:rPr>
                <w:i/>
              </w:rPr>
              <w:t>potential termination costs</w:t>
            </w:r>
            <w:r>
              <w:t xml:space="preserve">], lead to unanticipated costs </w:t>
            </w:r>
            <w:r w:rsidRPr="0049608D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49608D">
              <w:rPr>
                <w:i/>
              </w:rPr>
              <w:t>26)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1799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75571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</w:t>
            </w:r>
            <w:r>
              <w:t xml:space="preserve">  </w:t>
            </w:r>
            <w:sdt>
              <w:sdtPr>
                <w:rPr>
                  <w:sz w:val="28"/>
                </w:rPr>
                <w:id w:val="-15001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0160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673" w:type="pct"/>
            <w:vMerge/>
          </w:tcPr>
          <w:p w:rsidR="00F76028" w:rsidRDefault="00F76028" w:rsidP="00F76028">
            <w:pPr>
              <w:keepLines/>
            </w:pP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F84E10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673" w:type="pct"/>
            <w:vMerge/>
          </w:tcPr>
          <w:p w:rsidR="00F76028" w:rsidRDefault="00F76028" w:rsidP="00F76028">
            <w:pPr>
              <w:keepLines/>
            </w:pPr>
          </w:p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Pr="00D8079B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Changes in accounting standards lead to volatility in treatment of agreed </w:t>
            </w:r>
            <w:r w:rsidRPr="002E78B6">
              <w:t>deficit contributions</w:t>
            </w:r>
            <w:r>
              <w:t>,</w:t>
            </w:r>
            <w:r w:rsidRPr="002E78B6">
              <w:t xml:space="preserve"> [</w:t>
            </w:r>
            <w:r w:rsidRPr="002E78B6">
              <w:rPr>
                <w:i/>
              </w:rPr>
              <w:t>difficulties for readers of Financial Statements</w:t>
            </w:r>
            <w:r>
              <w:rPr>
                <w:i/>
              </w:rPr>
              <w:t>, and potential impact on loan covenant compliance</w:t>
            </w:r>
            <w:r w:rsidRPr="002E78B6">
              <w:t xml:space="preserve">] </w:t>
            </w:r>
            <w:r w:rsidRPr="002E78B6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49608D">
              <w:rPr>
                <w:i/>
              </w:rPr>
              <w:t>26)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12349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3102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Pr="00D8079B" w:rsidRDefault="007F3E98" w:rsidP="00D40FA2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7F3E98" w:rsidRDefault="007F3E98" w:rsidP="00D40FA2">
            <w:pPr>
              <w:keepLines/>
            </w:pPr>
            <w:r>
              <w:t>Which risk map(s) is it tracked on:</w:t>
            </w:r>
          </w:p>
          <w:p w:rsidR="007F3E98" w:rsidRDefault="00AC23A4" w:rsidP="00D40FA2">
            <w:pPr>
              <w:keepLines/>
            </w:pPr>
            <w:r>
              <w:t>Strategic / Board</w:t>
            </w:r>
            <w:r w:rsidR="007F3E98" w:rsidRPr="00FE58FA">
              <w:rPr>
                <w:sz w:val="20"/>
              </w:rPr>
              <w:t xml:space="preserve">      </w:t>
            </w:r>
            <w:r w:rsidR="007F3E98">
              <w:t xml:space="preserve"> </w:t>
            </w:r>
            <w:sdt>
              <w:sdtPr>
                <w:rPr>
                  <w:sz w:val="28"/>
                </w:rPr>
                <w:id w:val="10396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   </w:t>
            </w:r>
          </w:p>
          <w:p w:rsidR="007F3E98" w:rsidRDefault="00AC23A4" w:rsidP="00D40FA2">
            <w:pPr>
              <w:keepLines/>
            </w:pPr>
            <w:r>
              <w:t xml:space="preserve">Operational              </w:t>
            </w:r>
            <w:r w:rsidR="007F3E9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8086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98"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F3E98">
              <w:t xml:space="preserve">  </w:t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7F3E98" w:rsidTr="00D40FA2">
        <w:trPr>
          <w:cantSplit/>
        </w:trPr>
        <w:tc>
          <w:tcPr>
            <w:tcW w:w="190" w:type="pct"/>
            <w:vMerge/>
          </w:tcPr>
          <w:p w:rsidR="007F3E98" w:rsidRDefault="007F3E98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7F3E98" w:rsidRPr="00D8079B" w:rsidRDefault="007F3E98" w:rsidP="00D40FA2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7F3E98" w:rsidRDefault="007F3E98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</w:tcBorders>
          </w:tcPr>
          <w:p w:rsidR="00AC23A4" w:rsidRDefault="00F73A64" w:rsidP="00D40FA2">
            <w:pPr>
              <w:keepLines/>
            </w:pPr>
            <w:r>
              <w:t>Scale of exposure</w:t>
            </w:r>
            <w:r w:rsidR="00AC23A4">
              <w:t>:</w:t>
            </w:r>
          </w:p>
          <w:p w:rsidR="007F3E98" w:rsidDel="007F3E98" w:rsidRDefault="00F84E10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7F3E98" w:rsidRDefault="007F3E98" w:rsidP="00D40FA2"/>
        </w:tc>
        <w:tc>
          <w:tcPr>
            <w:tcW w:w="673" w:type="pct"/>
            <w:vMerge/>
          </w:tcPr>
          <w:p w:rsidR="007F3E98" w:rsidRDefault="007F3E98" w:rsidP="00D40FA2"/>
        </w:tc>
      </w:tr>
      <w:tr w:rsidR="00A924F3" w:rsidRPr="004D3237" w:rsidTr="00D40FA2">
        <w:trPr>
          <w:cantSplit/>
        </w:trPr>
        <w:tc>
          <w:tcPr>
            <w:tcW w:w="5000" w:type="pct"/>
            <w:gridSpan w:val="6"/>
          </w:tcPr>
          <w:p w:rsidR="00A924F3" w:rsidRPr="004D3237" w:rsidRDefault="00AF4930" w:rsidP="00D40FA2">
            <w:pPr>
              <w:keepLines/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="00A924F3" w:rsidRPr="004D3237">
              <w:rPr>
                <w:b/>
                <w:sz w:val="26"/>
                <w:szCs w:val="26"/>
              </w:rPr>
              <w:t>Changing regulatory context</w:t>
            </w:r>
          </w:p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 w:val="restart"/>
          </w:tcPr>
          <w:p w:rsidR="00F76028" w:rsidRPr="00B435E4" w:rsidRDefault="00F76028" w:rsidP="00F76028">
            <w:pPr>
              <w:keepLines/>
              <w:rPr>
                <w:b/>
              </w:rPr>
            </w:pPr>
            <w:r w:rsidRPr="00B435E4">
              <w:rPr>
                <w:b/>
              </w:rPr>
              <w:t>Deregulation</w:t>
            </w: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New governance arrangements implemented following the removal of the HCA’s consents regime fail to retain the confidence of key stakeholders </w:t>
            </w:r>
            <w:r w:rsidRPr="00B435E4">
              <w:rPr>
                <w:i/>
              </w:rPr>
              <w:t>(</w:t>
            </w:r>
            <w:r>
              <w:rPr>
                <w:i/>
              </w:rPr>
              <w:t xml:space="preserve">pp. 3, </w:t>
            </w:r>
            <w:r w:rsidRPr="00B435E4">
              <w:rPr>
                <w:i/>
              </w:rPr>
              <w:t>27)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5306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2299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B435E4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17977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5701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B435E4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F84E10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Pr="00B435E4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Said new governance arrangements fail to reflect social purpose and charitable status </w:t>
            </w:r>
            <w:r w:rsidRPr="00B435E4">
              <w:rPr>
                <w:i/>
              </w:rPr>
              <w:t>(</w:t>
            </w:r>
            <w:r>
              <w:rPr>
                <w:i/>
              </w:rPr>
              <w:t>p.</w:t>
            </w:r>
            <w:r w:rsidRPr="00B435E4">
              <w:rPr>
                <w:i/>
              </w:rPr>
              <w:t>27)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-66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10163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B435E4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>Which risk map(s) is it tracked on:</w:t>
            </w:r>
          </w:p>
          <w:p w:rsidR="00F76028" w:rsidRDefault="00F76028" w:rsidP="00F76028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  </w:t>
            </w:r>
            <w:r>
              <w:t xml:space="preserve"> </w:t>
            </w:r>
            <w:sdt>
              <w:sdtPr>
                <w:rPr>
                  <w:sz w:val="28"/>
                </w:rPr>
                <w:id w:val="141651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76028" w:rsidRDefault="00F76028" w:rsidP="00F76028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6195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76028" w:rsidRPr="00B435E4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76028" w:rsidRDefault="00F76028" w:rsidP="00F76028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:rsidR="00F76028" w:rsidRDefault="00F76028" w:rsidP="00F76028">
            <w:pPr>
              <w:keepLines/>
            </w:pPr>
            <w:r>
              <w:t>Scale of exposure:</w:t>
            </w:r>
          </w:p>
          <w:p w:rsidR="00F76028" w:rsidDel="007F3E98" w:rsidRDefault="00F84E10" w:rsidP="00F76028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76028" w:rsidRDefault="00F76028" w:rsidP="00F76028"/>
        </w:tc>
        <w:tc>
          <w:tcPr>
            <w:tcW w:w="673" w:type="pct"/>
            <w:vMerge/>
          </w:tcPr>
          <w:p w:rsidR="00F76028" w:rsidRDefault="00F76028" w:rsidP="00F76028"/>
        </w:tc>
      </w:tr>
      <w:tr w:rsidR="00F76028" w:rsidTr="00D40FA2">
        <w:trPr>
          <w:cantSplit/>
        </w:trPr>
        <w:tc>
          <w:tcPr>
            <w:tcW w:w="190" w:type="pct"/>
            <w:vMerge w:val="restart"/>
          </w:tcPr>
          <w:p w:rsidR="00F76028" w:rsidRDefault="00F76028" w:rsidP="00F76028">
            <w:pPr>
              <w:pStyle w:val="ListParagraph"/>
              <w:keepLines/>
              <w:numPr>
                <w:ilvl w:val="0"/>
                <w:numId w:val="1"/>
              </w:numPr>
              <w:ind w:left="317" w:right="41" w:hanging="284"/>
            </w:pPr>
          </w:p>
        </w:tc>
        <w:tc>
          <w:tcPr>
            <w:tcW w:w="530" w:type="pct"/>
            <w:vMerge/>
          </w:tcPr>
          <w:p w:rsidR="00F76028" w:rsidRPr="00B435E4" w:rsidRDefault="00F76028" w:rsidP="00F76028">
            <w:pPr>
              <w:keepLines/>
              <w:rPr>
                <w:b/>
              </w:rPr>
            </w:pPr>
          </w:p>
        </w:tc>
        <w:tc>
          <w:tcPr>
            <w:tcW w:w="1279" w:type="pct"/>
            <w:vMerge w:val="restart"/>
          </w:tcPr>
          <w:p w:rsidR="00F76028" w:rsidRDefault="00F76028" w:rsidP="00F76028">
            <w:pPr>
              <w:keepLines/>
            </w:pPr>
            <w:r>
              <w:t xml:space="preserve">Said new governance arrangements are inadequate to manage the risks associated with disposals &amp; mergers </w:t>
            </w:r>
            <w:r w:rsidRPr="00B435E4">
              <w:rPr>
                <w:i/>
              </w:rPr>
              <w:t>(</w:t>
            </w:r>
            <w:r>
              <w:rPr>
                <w:i/>
              </w:rPr>
              <w:t xml:space="preserve">pp. 3, </w:t>
            </w:r>
            <w:r w:rsidRPr="00B435E4">
              <w:rPr>
                <w:i/>
              </w:rPr>
              <w:t>27)</w:t>
            </w:r>
            <w:r>
              <w:t xml:space="preserve"> </w:t>
            </w:r>
          </w:p>
        </w:tc>
        <w:tc>
          <w:tcPr>
            <w:tcW w:w="1146" w:type="pct"/>
            <w:tcBorders>
              <w:bottom w:val="single" w:sz="4" w:space="0" w:color="DBDBDB" w:themeColor="accent3" w:themeTint="66"/>
            </w:tcBorders>
          </w:tcPr>
          <w:p w:rsidR="00F76028" w:rsidRDefault="00F76028" w:rsidP="00F76028">
            <w:pPr>
              <w:keepLines/>
            </w:pPr>
            <w:r>
              <w:t xml:space="preserve">Are we exposed to this risk?     </w:t>
            </w:r>
          </w:p>
          <w:p w:rsidR="00F76028" w:rsidRDefault="00F76028" w:rsidP="00F76028">
            <w:pPr>
              <w:keepLines/>
            </w:pPr>
            <w:r>
              <w:t xml:space="preserve">Yes </w:t>
            </w:r>
            <w:sdt>
              <w:sdtPr>
                <w:rPr>
                  <w:sz w:val="28"/>
                </w:rPr>
                <w:id w:val="8556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rPr>
                  <w:sz w:val="28"/>
                </w:rPr>
                <w:id w:val="532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182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3" w:type="pct"/>
            <w:vMerge w:val="restart"/>
          </w:tcPr>
          <w:p w:rsidR="00F76028" w:rsidRDefault="00F76028" w:rsidP="00F760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Pr="00B435E4" w:rsidRDefault="00FA505D" w:rsidP="00D40FA2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:rsidR="00FA505D" w:rsidRDefault="00FA505D" w:rsidP="00D40FA2">
            <w:pPr>
              <w:keepLines/>
            </w:pPr>
            <w:r>
              <w:t>Which risk map(s) is it tracked on:</w:t>
            </w:r>
          </w:p>
          <w:p w:rsidR="00FA505D" w:rsidRDefault="00FA505D" w:rsidP="00D40FA2">
            <w:pPr>
              <w:keepLines/>
            </w:pPr>
            <w:r>
              <w:t>Strategic / Board</w:t>
            </w:r>
            <w:r w:rsidRPr="00FE58FA">
              <w:rPr>
                <w:sz w:val="20"/>
              </w:rPr>
              <w:t xml:space="preserve">    </w:t>
            </w:r>
            <w:r w:rsidRPr="00B5781C">
              <w:rPr>
                <w:sz w:val="18"/>
              </w:rPr>
              <w:t xml:space="preserve">  </w:t>
            </w:r>
            <w:r>
              <w:t xml:space="preserve"> </w:t>
            </w:r>
            <w:sdt>
              <w:sdtPr>
                <w:rPr>
                  <w:sz w:val="28"/>
                </w:rPr>
                <w:id w:val="26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   </w:t>
            </w:r>
          </w:p>
          <w:p w:rsidR="00FA505D" w:rsidRDefault="00FA505D" w:rsidP="00D40FA2">
            <w:pPr>
              <w:keepLines/>
            </w:pPr>
            <w:r>
              <w:t xml:space="preserve">Operational             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3612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1E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1182" w:type="pct"/>
            <w:vMerge/>
          </w:tcPr>
          <w:p w:rsidR="00FA505D" w:rsidRDefault="00FA505D" w:rsidP="00D40FA2"/>
        </w:tc>
        <w:tc>
          <w:tcPr>
            <w:tcW w:w="673" w:type="pct"/>
            <w:vMerge/>
          </w:tcPr>
          <w:p w:rsidR="00FA505D" w:rsidRDefault="00FA505D" w:rsidP="00D40FA2"/>
        </w:tc>
      </w:tr>
      <w:tr w:rsidR="00FA505D" w:rsidTr="00D40FA2">
        <w:trPr>
          <w:cantSplit/>
        </w:trPr>
        <w:tc>
          <w:tcPr>
            <w:tcW w:w="190" w:type="pct"/>
            <w:vMerge/>
          </w:tcPr>
          <w:p w:rsidR="00FA505D" w:rsidRDefault="00FA505D" w:rsidP="00D40FA2">
            <w:pPr>
              <w:pStyle w:val="ListParagraph"/>
              <w:keepLines/>
              <w:numPr>
                <w:ilvl w:val="0"/>
                <w:numId w:val="1"/>
              </w:numPr>
            </w:pPr>
          </w:p>
        </w:tc>
        <w:tc>
          <w:tcPr>
            <w:tcW w:w="530" w:type="pct"/>
            <w:vMerge/>
          </w:tcPr>
          <w:p w:rsidR="00FA505D" w:rsidRPr="00B435E4" w:rsidRDefault="00FA505D" w:rsidP="00D40FA2">
            <w:pPr>
              <w:keepLines/>
              <w:rPr>
                <w:b/>
              </w:rPr>
            </w:pPr>
          </w:p>
        </w:tc>
        <w:tc>
          <w:tcPr>
            <w:tcW w:w="1279" w:type="pct"/>
            <w:vMerge/>
          </w:tcPr>
          <w:p w:rsidR="00FA505D" w:rsidRDefault="00FA505D" w:rsidP="00D40FA2">
            <w:pPr>
              <w:keepLines/>
            </w:pPr>
          </w:p>
        </w:tc>
        <w:tc>
          <w:tcPr>
            <w:tcW w:w="1146" w:type="pct"/>
            <w:tcBorders>
              <w:top w:val="single" w:sz="4" w:space="0" w:color="DBDBDB" w:themeColor="accent3" w:themeTint="66"/>
            </w:tcBorders>
          </w:tcPr>
          <w:p w:rsidR="00FA505D" w:rsidRDefault="00FA505D" w:rsidP="00D40FA2">
            <w:pPr>
              <w:keepLines/>
            </w:pPr>
            <w:r>
              <w:t>Scale of exposure:</w:t>
            </w:r>
          </w:p>
          <w:p w:rsidR="00FA505D" w:rsidDel="007F3E98" w:rsidRDefault="00F84E10" w:rsidP="00D40FA2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pct"/>
            <w:vMerge/>
          </w:tcPr>
          <w:p w:rsidR="00FA505D" w:rsidRDefault="00FA505D" w:rsidP="00D40FA2"/>
        </w:tc>
        <w:tc>
          <w:tcPr>
            <w:tcW w:w="673" w:type="pct"/>
            <w:vMerge/>
          </w:tcPr>
          <w:p w:rsidR="00FA505D" w:rsidRDefault="00FA505D" w:rsidP="00D40FA2"/>
        </w:tc>
      </w:tr>
    </w:tbl>
    <w:p w:rsidR="00F76028" w:rsidRDefault="00FA505D">
      <w:pPr>
        <w:rPr>
          <w:b/>
          <w:sz w:val="28"/>
          <w:u w:val="single"/>
        </w:rPr>
      </w:pPr>
      <w:r>
        <w:br w:type="textWrapping" w:clear="all"/>
      </w:r>
      <w:r w:rsidR="00F76028">
        <w:rPr>
          <w:b/>
          <w:sz w:val="28"/>
          <w:u w:val="single"/>
        </w:rPr>
        <w:br w:type="page"/>
      </w:r>
    </w:p>
    <w:p w:rsidR="00AC23A4" w:rsidRPr="00AC23A4" w:rsidRDefault="00AC23A4" w:rsidP="00BC28C4">
      <w:pPr>
        <w:rPr>
          <w:b/>
          <w:sz w:val="28"/>
          <w:u w:val="single"/>
        </w:rPr>
      </w:pPr>
      <w:r w:rsidRPr="00AC23A4">
        <w:rPr>
          <w:b/>
          <w:sz w:val="28"/>
          <w:u w:val="single"/>
        </w:rPr>
        <w:lastRenderedPageBreak/>
        <w:t>KEY</w:t>
      </w:r>
    </w:p>
    <w:p w:rsidR="000D3EFE" w:rsidRDefault="00320B09" w:rsidP="00211A56">
      <w:pPr>
        <w:keepNext/>
      </w:pPr>
      <w:r>
        <w:t>[</w:t>
      </w:r>
      <w:r w:rsidRPr="00FE58FA">
        <w:rPr>
          <w:i/>
        </w:rPr>
        <w:t>text</w:t>
      </w:r>
      <w:r w:rsidR="00FE58FA">
        <w:rPr>
          <w:i/>
        </w:rPr>
        <w:t xml:space="preserve"> </w:t>
      </w:r>
      <w:r w:rsidRPr="00FE58FA">
        <w:rPr>
          <w:i/>
        </w:rPr>
        <w:t xml:space="preserve">in square brackets </w:t>
      </w:r>
      <w:r w:rsidR="00FE58FA">
        <w:rPr>
          <w:i/>
        </w:rPr>
        <w:t xml:space="preserve">does not appear in SRP17, rather it </w:t>
      </w:r>
      <w:r w:rsidRPr="00FE58FA">
        <w:rPr>
          <w:i/>
        </w:rPr>
        <w:t>indicates a CT clarification</w:t>
      </w:r>
      <w:r>
        <w:t>]</w:t>
      </w:r>
    </w:p>
    <w:p w:rsidR="000D3EFE" w:rsidRDefault="000D3EFE" w:rsidP="00211A56">
      <w:pPr>
        <w:keepNext/>
      </w:pPr>
      <w:r w:rsidRPr="00176390">
        <w:rPr>
          <w:b/>
          <w:sz w:val="28"/>
        </w:rPr>
        <w:t>*</w:t>
      </w:r>
      <w:r w:rsidRPr="00176390">
        <w:rPr>
          <w:b/>
        </w:rPr>
        <w:t xml:space="preserve"> </w:t>
      </w:r>
      <w:r>
        <w:t xml:space="preserve">SRP17 refers to </w:t>
      </w:r>
      <w:r w:rsidR="00810908">
        <w:t xml:space="preserve">welfare reform </w:t>
      </w:r>
      <w:r>
        <w:t>risks associated with:</w:t>
      </w:r>
      <w:r w:rsidRPr="000D3EFE">
        <w:t xml:space="preserve"> </w:t>
      </w:r>
      <w:r w:rsidR="00D505DC">
        <w:t>U</w:t>
      </w:r>
      <w:r>
        <w:t xml:space="preserve">niversal Credit &amp; direct payment of housing costs to tenants; freezing of working-age benefits; changes to tax credits; removal of automatic entitlement to housing benefits for </w:t>
      </w:r>
      <w:proofErr w:type="gramStart"/>
      <w:r>
        <w:t>18-21 year</w:t>
      </w:r>
      <w:proofErr w:type="gramEnd"/>
      <w:r>
        <w:t xml:space="preserve"> olds; cap on benefits for out-of-work, working-age families</w:t>
      </w:r>
      <w:r w:rsidR="00810908">
        <w:t>;</w:t>
      </w:r>
      <w:r>
        <w:t xml:space="preserve"> and restricting housing benefit to the Local Housing Allowance.</w:t>
      </w:r>
    </w:p>
    <w:p w:rsidR="002532FC" w:rsidRDefault="002532FC" w:rsidP="000D3EFE">
      <w:r w:rsidRPr="00176390">
        <w:rPr>
          <w:b/>
          <w:sz w:val="28"/>
        </w:rPr>
        <w:t>**</w:t>
      </w:r>
      <w:r w:rsidRPr="00176390">
        <w:rPr>
          <w:b/>
        </w:rPr>
        <w:t xml:space="preserve"> </w:t>
      </w:r>
      <w:r>
        <w:t>SRP17 identifies income from sales as including market sale, shared ownership first tranche sales and staircasing, R</w:t>
      </w:r>
      <w:r w:rsidR="00AC23A4">
        <w:t>ight to Buy</w:t>
      </w:r>
      <w:r>
        <w:t>, R</w:t>
      </w:r>
      <w:r w:rsidR="00AC23A4">
        <w:t>ight to Acquire</w:t>
      </w:r>
      <w:r>
        <w:t xml:space="preserve"> and asset management sales.</w:t>
      </w:r>
    </w:p>
    <w:p w:rsidR="00ED620F" w:rsidRDefault="00ED620F" w:rsidP="000D3EFE">
      <w:r w:rsidRPr="00176390">
        <w:rPr>
          <w:b/>
          <w:sz w:val="28"/>
        </w:rPr>
        <w:t xml:space="preserve">*** </w:t>
      </w:r>
      <w:r>
        <w:t>SRP17 refers to student housing, property management, commercial property and nursing homes as non-social housing activities that are commonly undertaken through unregistered subsidiaries, special purpose vehicles or joint ventures</w:t>
      </w:r>
      <w:r w:rsidR="00810908">
        <w:t>.</w:t>
      </w:r>
    </w:p>
    <w:p w:rsidR="00BC28C4" w:rsidRDefault="00BC28C4" w:rsidP="000D3EFE"/>
    <w:p w:rsidR="00FE58FA" w:rsidRPr="00FE58FA" w:rsidRDefault="00FE58FA" w:rsidP="00211A56">
      <w:pPr>
        <w:keepNext/>
        <w:spacing w:before="360"/>
        <w:rPr>
          <w:b/>
          <w:sz w:val="28"/>
          <w:u w:val="single"/>
        </w:rPr>
      </w:pPr>
      <w:r w:rsidRPr="00FE58FA">
        <w:rPr>
          <w:b/>
          <w:sz w:val="28"/>
          <w:u w:val="single"/>
        </w:rPr>
        <w:t>TIPS</w:t>
      </w:r>
    </w:p>
    <w:p w:rsidR="00BC1218" w:rsidRPr="00FE58FA" w:rsidRDefault="00BC1218" w:rsidP="00FE5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</w:rPr>
      </w:pPr>
      <w:r w:rsidRPr="00FE58FA">
        <w:rPr>
          <w:rFonts w:cstheme="minorHAnsi"/>
        </w:rPr>
        <w:t>Where there is little or no exposure, selecting the ‘No’ box will suffice, and there is no need to complete the remaining fields.</w:t>
      </w:r>
    </w:p>
    <w:p w:rsidR="00047E52" w:rsidRPr="00FE58FA" w:rsidRDefault="00047E52" w:rsidP="00FE5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  <w:sz w:val="24"/>
          <w:szCs w:val="24"/>
        </w:rPr>
      </w:pPr>
      <w:r w:rsidRPr="00FE58FA">
        <w:rPr>
          <w:rFonts w:cstheme="minorHAnsi"/>
        </w:rPr>
        <w:t xml:space="preserve">In the ‘scale of exposure’ field, look to quantify </w:t>
      </w:r>
      <w:r w:rsidR="00BC28C4">
        <w:rPr>
          <w:rFonts w:cstheme="minorHAnsi"/>
        </w:rPr>
        <w:t>the organisation’s</w:t>
      </w:r>
      <w:r w:rsidRPr="00FE58FA">
        <w:rPr>
          <w:rFonts w:cstheme="minorHAnsi"/>
        </w:rPr>
        <w:t xml:space="preserve"> exposure e.g. “business plan expects £5m of sales income in 2020”, </w:t>
      </w:r>
      <w:r w:rsidR="00326C38" w:rsidRPr="00FE58FA">
        <w:rPr>
          <w:rFonts w:cstheme="minorHAnsi"/>
        </w:rPr>
        <w:t>“maximum value of undeveloped land and work in progress = £12m in 2019”, “business plan assumes 15% return on commercial activity</w:t>
      </w:r>
      <w:r w:rsidR="00571673" w:rsidRPr="00FE58FA">
        <w:rPr>
          <w:rFonts w:cstheme="minorHAnsi"/>
        </w:rPr>
        <w:t>. I</w:t>
      </w:r>
      <w:r w:rsidR="00326C38" w:rsidRPr="00FE58FA">
        <w:rPr>
          <w:rFonts w:cstheme="minorHAnsi"/>
        </w:rPr>
        <w:t>f this were to fall to 0%</w:t>
      </w:r>
      <w:r w:rsidR="00571673" w:rsidRPr="00FE58FA">
        <w:rPr>
          <w:rFonts w:cstheme="minorHAnsi"/>
        </w:rPr>
        <w:t>,</w:t>
      </w:r>
      <w:r w:rsidR="00326C38" w:rsidRPr="00FE58FA">
        <w:rPr>
          <w:rFonts w:cstheme="minorHAnsi"/>
        </w:rPr>
        <w:t xml:space="preserve"> the income of the commercial subsidiary would drop by £250k”, “if we are unable to access top up funding, the LHP cap could see our supported housing income to drop by £350k pa”, “a 1% fall in PRS and affordable </w:t>
      </w:r>
      <w:r w:rsidR="00571673" w:rsidRPr="00FE58FA">
        <w:rPr>
          <w:rFonts w:cstheme="minorHAnsi"/>
        </w:rPr>
        <w:t>rents would see income fall by £</w:t>
      </w:r>
      <w:r w:rsidR="00326C38" w:rsidRPr="00FE58FA">
        <w:rPr>
          <w:rFonts w:cstheme="minorHAnsi"/>
        </w:rPr>
        <w:t>150k”. It may not be possible to quantify all risk exposures.</w:t>
      </w:r>
    </w:p>
    <w:p w:rsidR="00BC1218" w:rsidRDefault="00BC1218" w:rsidP="00BC28C4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rPr>
          <w:rFonts w:cstheme="minorHAnsi"/>
        </w:rPr>
      </w:pPr>
      <w:r w:rsidRPr="00FE58FA">
        <w:rPr>
          <w:rFonts w:cstheme="minorHAnsi"/>
        </w:rPr>
        <w:t xml:space="preserve">For the non-negligible risks, </w:t>
      </w:r>
      <w:r w:rsidR="00FE58FA">
        <w:rPr>
          <w:rFonts w:cstheme="minorHAnsi"/>
        </w:rPr>
        <w:t>indicate</w:t>
      </w:r>
      <w:r w:rsidRPr="00FE58FA">
        <w:rPr>
          <w:rFonts w:cstheme="minorHAnsi"/>
        </w:rPr>
        <w:t xml:space="preserve"> both internal and external sources of assurance in the Controls &amp; Assurance column. Examples include: detailing the impact of stress testing variations in business plan assumptions on covenants and golden rules; evidence-based asset management strategies; development frameworks with robust appraisal processes and identified exit strategies; and assurance gained from internal auditors, treasury advisers, legal advisors, valuers, quantity surveyors (for stock condition), and other specialist advisors.</w:t>
      </w:r>
    </w:p>
    <w:p w:rsidR="00BC28C4" w:rsidRPr="00FE58FA" w:rsidRDefault="00BC28C4" w:rsidP="00BC28C4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Once completed, inserting a page break </w:t>
      </w:r>
      <w:r w:rsidR="00AD4C73">
        <w:rPr>
          <w:rFonts w:cstheme="minorHAnsi"/>
        </w:rPr>
        <w:t>at the</w:t>
      </w:r>
      <w:r>
        <w:rPr>
          <w:rFonts w:cstheme="minorHAnsi"/>
        </w:rPr>
        <w:t xml:space="preserve"> end of the Action Needed cell, will assist in row readability.</w:t>
      </w:r>
    </w:p>
    <w:p w:rsidR="00F62DB7" w:rsidRDefault="00F62DB7" w:rsidP="00BC28C4">
      <w:pPr>
        <w:keepNext/>
        <w:keepLines/>
        <w:spacing w:after="0" w:line="240" w:lineRule="auto"/>
        <w:rPr>
          <w:rFonts w:cstheme="minorHAnsi"/>
        </w:rPr>
      </w:pPr>
    </w:p>
    <w:p w:rsidR="00E83DBF" w:rsidRDefault="00DD4BC1" w:rsidP="00BC28C4">
      <w:pPr>
        <w:keepNext/>
        <w:keepLines/>
        <w:spacing w:after="120"/>
        <w:jc w:val="right"/>
      </w:pPr>
      <w:r>
        <w:t xml:space="preserve">This </w:t>
      </w:r>
      <w:r w:rsidR="00AC23A4">
        <w:t>checklist</w:t>
      </w:r>
      <w:r>
        <w:t xml:space="preserve"> was prepared by </w:t>
      </w:r>
      <w:r w:rsidR="008C7210">
        <w:t xml:space="preserve">Sue Harvey, Director at </w:t>
      </w:r>
      <w:r>
        <w:t>Campbell Tickell</w:t>
      </w:r>
      <w:r w:rsidR="00D365D3">
        <w:t xml:space="preserve">. </w:t>
      </w:r>
      <w:hyperlink r:id="rId8" w:history="1">
        <w:r w:rsidR="008C7210" w:rsidRPr="002A37F9">
          <w:rPr>
            <w:rStyle w:val="Hyperlink"/>
          </w:rPr>
          <w:t>sue@campbelltickell.com</w:t>
        </w:r>
      </w:hyperlink>
      <w:r w:rsidR="00E83DBF">
        <w:t xml:space="preserve">. </w:t>
      </w:r>
    </w:p>
    <w:p w:rsidR="00AC23A4" w:rsidRDefault="00AC23A4" w:rsidP="00BC28C4">
      <w:pPr>
        <w:keepNext/>
        <w:keepLines/>
        <w:spacing w:after="120"/>
        <w:jc w:val="right"/>
      </w:pPr>
      <w:r w:rsidRPr="00E83DBF">
        <w:rPr>
          <w:sz w:val="32"/>
        </w:rPr>
        <w:t>©</w:t>
      </w:r>
      <w:r>
        <w:t xml:space="preserve"> Campbell Tickell </w:t>
      </w:r>
      <w:r w:rsidR="00E83DBF">
        <w:t xml:space="preserve">August </w:t>
      </w:r>
      <w:r>
        <w:t>2017.</w:t>
      </w:r>
      <w:r w:rsidR="00E83DBF">
        <w:t xml:space="preserve"> May not be amended or customised without written consent.</w:t>
      </w:r>
    </w:p>
    <w:sectPr w:rsidR="00AC23A4" w:rsidSect="00D40FA2">
      <w:headerReference w:type="default" r:id="rId9"/>
      <w:footerReference w:type="default" r:id="rId10"/>
      <w:pgSz w:w="16838" w:h="11906" w:orient="landscape" w:code="9"/>
      <w:pgMar w:top="1134" w:right="1021" w:bottom="709" w:left="1021" w:header="1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9F" w:rsidRDefault="0044319F" w:rsidP="006E2D84">
      <w:pPr>
        <w:spacing w:after="0" w:line="240" w:lineRule="auto"/>
      </w:pPr>
      <w:r>
        <w:separator/>
      </w:r>
    </w:p>
  </w:endnote>
  <w:endnote w:type="continuationSeparator" w:id="0">
    <w:p w:rsidR="0044319F" w:rsidRDefault="0044319F" w:rsidP="006E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3"/>
      <w:gridCol w:w="7393"/>
    </w:tblGrid>
    <w:tr w:rsidR="00DD7BB4" w:rsidTr="00E618C9">
      <w:tc>
        <w:tcPr>
          <w:tcW w:w="7393" w:type="dxa"/>
        </w:tcPr>
        <w:p w:rsidR="00DD7BB4" w:rsidRPr="00571673" w:rsidRDefault="00DD7BB4" w:rsidP="00E618C9">
          <w:pPr>
            <w:pStyle w:val="Footer"/>
            <w:spacing w:before="120"/>
            <w:rPr>
              <w:i/>
              <w:sz w:val="20"/>
            </w:rPr>
          </w:pPr>
          <w:r w:rsidRPr="00571673">
            <w:rPr>
              <w:i/>
              <w:sz w:val="20"/>
            </w:rPr>
            <w:t xml:space="preserve">Checklist completed </w:t>
          </w:r>
          <w:r w:rsidR="00674868">
            <w:rPr>
              <w:i/>
              <w:sz w:val="20"/>
            </w:rPr>
            <w:fldChar w:fldCharType="begin"/>
          </w:r>
          <w:r w:rsidR="00674868">
            <w:rPr>
              <w:i/>
              <w:sz w:val="20"/>
            </w:rPr>
            <w:instrText xml:space="preserve"> StyleRef "</w:instrText>
          </w:r>
          <w:r w:rsidR="00674868" w:rsidRPr="00674868">
            <w:rPr>
              <w:i/>
              <w:sz w:val="20"/>
            </w:rPr>
            <w:instrText>Click or tap to enter a date</w:instrText>
          </w:r>
          <w:r w:rsidR="00674868">
            <w:rPr>
              <w:i/>
              <w:sz w:val="20"/>
            </w:rPr>
            <w:instrText xml:space="preserve">" </w:instrText>
          </w:r>
          <w:r w:rsidR="00674868">
            <w:rPr>
              <w:i/>
              <w:sz w:val="20"/>
            </w:rPr>
            <w:fldChar w:fldCharType="end"/>
          </w:r>
          <w:r w:rsidR="00B40803">
            <w:rPr>
              <w:i/>
              <w:sz w:val="20"/>
            </w:rPr>
            <w:fldChar w:fldCharType="begin"/>
          </w:r>
          <w:r w:rsidR="00B40803">
            <w:rPr>
              <w:i/>
              <w:sz w:val="20"/>
            </w:rPr>
            <w:instrText xml:space="preserve">  </w:instrText>
          </w:r>
          <w:r w:rsidR="00B40803">
            <w:rPr>
              <w:i/>
              <w:sz w:val="20"/>
            </w:rPr>
            <w:fldChar w:fldCharType="separate"/>
          </w:r>
          <w:r w:rsidR="00B40803">
            <w:rPr>
              <w:b/>
              <w:bCs/>
              <w:i/>
              <w:noProof/>
              <w:sz w:val="20"/>
              <w:lang w:val="en-US"/>
            </w:rPr>
            <w:t>Error! No style name given.</w:t>
          </w:r>
          <w:r w:rsidR="00B40803">
            <w:rPr>
              <w:i/>
              <w:sz w:val="20"/>
            </w:rPr>
            <w:fldChar w:fldCharType="end"/>
          </w:r>
        </w:p>
      </w:tc>
      <w:tc>
        <w:tcPr>
          <w:tcW w:w="7393" w:type="dxa"/>
        </w:tcPr>
        <w:p w:rsidR="00DD7BB4" w:rsidRDefault="00DD7BB4" w:rsidP="00E618C9">
          <w:pPr>
            <w:pStyle w:val="Footer"/>
            <w:spacing w:before="120"/>
            <w:jc w:val="right"/>
            <w:rPr>
              <w:i/>
              <w:sz w:val="20"/>
            </w:rPr>
          </w:pPr>
          <w:r w:rsidRPr="000435E6">
            <w:rPr>
              <w:i/>
              <w:sz w:val="20"/>
            </w:rPr>
            <w:t xml:space="preserve">Page </w:t>
          </w:r>
          <w:r w:rsidRPr="000435E6">
            <w:rPr>
              <w:i/>
              <w:sz w:val="20"/>
            </w:rPr>
            <w:fldChar w:fldCharType="begin"/>
          </w:r>
          <w:r w:rsidRPr="000435E6">
            <w:rPr>
              <w:i/>
              <w:sz w:val="20"/>
            </w:rPr>
            <w:instrText xml:space="preserve"> PAGE   \* MERGEFORMAT </w:instrText>
          </w:r>
          <w:r w:rsidRPr="000435E6">
            <w:rPr>
              <w:i/>
              <w:sz w:val="20"/>
            </w:rPr>
            <w:fldChar w:fldCharType="separate"/>
          </w:r>
          <w:r w:rsidR="00CB15A8">
            <w:rPr>
              <w:i/>
              <w:noProof/>
              <w:sz w:val="20"/>
            </w:rPr>
            <w:t>17</w:t>
          </w:r>
          <w:r w:rsidRPr="000435E6">
            <w:rPr>
              <w:i/>
              <w:sz w:val="20"/>
            </w:rPr>
            <w:fldChar w:fldCharType="end"/>
          </w:r>
          <w:r w:rsidRPr="000435E6">
            <w:rPr>
              <w:i/>
              <w:sz w:val="20"/>
            </w:rPr>
            <w:t xml:space="preserve"> of </w:t>
          </w:r>
          <w:r w:rsidRPr="000435E6">
            <w:rPr>
              <w:i/>
              <w:sz w:val="20"/>
            </w:rPr>
            <w:fldChar w:fldCharType="begin"/>
          </w:r>
          <w:r w:rsidRPr="000435E6">
            <w:rPr>
              <w:i/>
              <w:sz w:val="20"/>
            </w:rPr>
            <w:instrText xml:space="preserve"> NUMPAGES   \* MERGEFORMAT </w:instrText>
          </w:r>
          <w:r w:rsidRPr="000435E6">
            <w:rPr>
              <w:i/>
              <w:sz w:val="20"/>
            </w:rPr>
            <w:fldChar w:fldCharType="separate"/>
          </w:r>
          <w:r w:rsidR="00CB15A8">
            <w:rPr>
              <w:i/>
              <w:noProof/>
              <w:sz w:val="20"/>
            </w:rPr>
            <w:t>18</w:t>
          </w:r>
          <w:r w:rsidRPr="000435E6">
            <w:rPr>
              <w:i/>
              <w:sz w:val="20"/>
            </w:rPr>
            <w:fldChar w:fldCharType="end"/>
          </w:r>
        </w:p>
      </w:tc>
    </w:tr>
  </w:tbl>
  <w:p w:rsidR="00DD7BB4" w:rsidRPr="00E618C9" w:rsidRDefault="00DD7BB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9F" w:rsidRDefault="0044319F" w:rsidP="006E2D84">
      <w:pPr>
        <w:spacing w:after="0" w:line="240" w:lineRule="auto"/>
      </w:pPr>
      <w:r>
        <w:separator/>
      </w:r>
    </w:p>
  </w:footnote>
  <w:footnote w:type="continuationSeparator" w:id="0">
    <w:p w:rsidR="0044319F" w:rsidRDefault="0044319F" w:rsidP="006E2D84">
      <w:pPr>
        <w:spacing w:after="0" w:line="240" w:lineRule="auto"/>
      </w:pPr>
      <w:r>
        <w:continuationSeparator/>
      </w:r>
    </w:p>
  </w:footnote>
  <w:footnote w:id="1">
    <w:p w:rsidR="00DD7BB4" w:rsidRDefault="00DD7BB4" w:rsidP="00C46523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92717">
          <w:rPr>
            <w:rStyle w:val="Hyperlink"/>
          </w:rPr>
          <w:t>https://www.gov.uk/government/uploads/system/uploads/attachment_data/file/633667/Sector_Risk_Profile_2017.pdf</w:t>
        </w:r>
      </w:hyperlink>
    </w:p>
    <w:p w:rsidR="00DD7BB4" w:rsidRDefault="00DD7BB4" w:rsidP="00C4652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7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25"/>
      <w:gridCol w:w="3402"/>
    </w:tblGrid>
    <w:tr w:rsidR="00DD7BB4" w:rsidTr="00E72CB7">
      <w:tc>
        <w:tcPr>
          <w:tcW w:w="3868" w:type="pct"/>
        </w:tcPr>
        <w:p w:rsidR="00DD7BB4" w:rsidRPr="00160D88" w:rsidRDefault="00184912">
          <w:pPr>
            <w:pStyle w:val="Header"/>
            <w:rPr>
              <w:rStyle w:val="SubtleEmphasis"/>
              <w:i w:val="0"/>
            </w:rPr>
          </w:pPr>
          <w:r>
            <w:rPr>
              <w:rStyle w:val="SubtleEmphasis"/>
              <w:i w:val="0"/>
              <w:color w:val="auto"/>
              <w:sz w:val="28"/>
              <w:szCs w:val="28"/>
            </w:rPr>
            <w:t xml:space="preserve"> </w:t>
          </w:r>
          <w:r w:rsidR="00E72CB7" w:rsidRPr="00E72CB7">
            <w:rPr>
              <w:rStyle w:val="SubtleEmphasis"/>
              <w:i w:val="0"/>
              <w:color w:val="auto"/>
              <w:sz w:val="28"/>
              <w:szCs w:val="28"/>
            </w:rPr>
            <w:fldChar w:fldCharType="begin"/>
          </w:r>
          <w:r w:rsidR="00E72CB7" w:rsidRPr="00E72CB7">
            <w:rPr>
              <w:rStyle w:val="SubtleEmphasis"/>
              <w:i w:val="0"/>
              <w:color w:val="auto"/>
              <w:sz w:val="28"/>
              <w:szCs w:val="28"/>
            </w:rPr>
            <w:instrText xml:space="preserve"> StyleRef "</w:instrText>
          </w:r>
          <w:r w:rsidR="00CA4161" w:rsidRPr="00CA4161">
            <w:rPr>
              <w:rStyle w:val="SubtleEmphasis"/>
              <w:i w:val="0"/>
              <w:color w:val="auto"/>
              <w:sz w:val="28"/>
              <w:szCs w:val="28"/>
            </w:rPr>
            <w:instrText>Click or tap to enter organisation name</w:instrText>
          </w:r>
          <w:r w:rsidR="00E72CB7" w:rsidRPr="00E72CB7">
            <w:rPr>
              <w:rStyle w:val="PlaceholderText"/>
              <w:color w:val="auto"/>
              <w:sz w:val="28"/>
              <w:szCs w:val="28"/>
            </w:rPr>
            <w:instrText>"</w:instrText>
          </w:r>
          <w:r w:rsidR="00E72CB7" w:rsidRPr="00E72CB7">
            <w:rPr>
              <w:rStyle w:val="SubtleEmphasis"/>
              <w:i w:val="0"/>
              <w:color w:val="auto"/>
              <w:sz w:val="28"/>
              <w:szCs w:val="28"/>
            </w:rPr>
            <w:fldChar w:fldCharType="end"/>
          </w:r>
          <w:r>
            <w:rPr>
              <w:rStyle w:val="SubtleEmphasis"/>
              <w:i w:val="0"/>
              <w:color w:val="auto"/>
              <w:sz w:val="28"/>
              <w:szCs w:val="28"/>
            </w:rPr>
            <w:t xml:space="preserve"> </w:t>
          </w:r>
          <w:r w:rsidR="00E72CB7" w:rsidRPr="00E72CB7">
            <w:rPr>
              <w:rStyle w:val="SubtleEmphasis"/>
              <w:i w:val="0"/>
              <w:sz w:val="28"/>
            </w:rPr>
            <w:t>C</w:t>
          </w:r>
          <w:r w:rsidR="00DD7BB4" w:rsidRPr="00160D88">
            <w:rPr>
              <w:rStyle w:val="SubtleEmphasis"/>
              <w:i w:val="0"/>
              <w:sz w:val="28"/>
            </w:rPr>
            <w:t xml:space="preserve">hecklist </w:t>
          </w:r>
          <w:r w:rsidR="00DD7BB4">
            <w:rPr>
              <w:rStyle w:val="SubtleEmphasis"/>
              <w:i w:val="0"/>
              <w:sz w:val="28"/>
            </w:rPr>
            <w:t>versus the</w:t>
          </w:r>
          <w:r w:rsidR="00DD7BB4" w:rsidRPr="00160D88">
            <w:rPr>
              <w:rStyle w:val="SubtleEmphasis"/>
              <w:i w:val="0"/>
              <w:sz w:val="28"/>
            </w:rPr>
            <w:t xml:space="preserve"> HCA</w:t>
          </w:r>
          <w:r w:rsidR="00DD7BB4">
            <w:rPr>
              <w:rStyle w:val="SubtleEmphasis"/>
              <w:i w:val="0"/>
              <w:sz w:val="28"/>
            </w:rPr>
            <w:t>’s</w:t>
          </w:r>
          <w:r w:rsidR="00DD7BB4" w:rsidRPr="00160D88">
            <w:rPr>
              <w:rStyle w:val="SubtleEmphasis"/>
              <w:i w:val="0"/>
              <w:sz w:val="28"/>
            </w:rPr>
            <w:t xml:space="preserve"> Sector Risk Profile 2017 </w:t>
          </w:r>
        </w:p>
      </w:tc>
      <w:tc>
        <w:tcPr>
          <w:tcW w:w="1132" w:type="pct"/>
        </w:tcPr>
        <w:p w:rsidR="00DD7BB4" w:rsidRDefault="00DD7BB4" w:rsidP="00160D88">
          <w:pPr>
            <w:pStyle w:val="Header"/>
            <w:jc w:val="right"/>
            <w:rPr>
              <w:rStyle w:val="SubtleEmphasis"/>
            </w:rPr>
          </w:pPr>
          <w:r>
            <w:rPr>
              <w:i/>
              <w:iCs/>
              <w:noProof/>
              <w:color w:val="404040" w:themeColor="text1" w:themeTint="BF"/>
              <w:lang w:val="en-US"/>
            </w:rPr>
            <w:drawing>
              <wp:inline distT="0" distB="0" distL="0" distR="0" wp14:anchorId="78E1BBCA" wp14:editId="27840D9E">
                <wp:extent cx="1285241" cy="338221"/>
                <wp:effectExtent l="0" t="0" r="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482" cy="342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7BB4" w:rsidRPr="00D67AF1" w:rsidRDefault="00DD7BB4" w:rsidP="00160D88">
    <w:pPr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E19"/>
    <w:multiLevelType w:val="hybridMultilevel"/>
    <w:tmpl w:val="6A0CCED6"/>
    <w:lvl w:ilvl="0" w:tplc="9C120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3211"/>
    <w:multiLevelType w:val="hybridMultilevel"/>
    <w:tmpl w:val="FA4E3C46"/>
    <w:lvl w:ilvl="0" w:tplc="B54EE9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23EF"/>
    <w:multiLevelType w:val="hybridMultilevel"/>
    <w:tmpl w:val="7D0E2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m+nDY0T5WU9CrGpGvTufy6EwBoPstliLIyLtAnWlJQ0tNU7/ekmIsNc53V0QZXcs3c8HiN6WMQ5wf/q+gdCQ==" w:salt="zP2hyEmSjJIXeDqPS2eyN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6"/>
    <w:rsid w:val="00004B74"/>
    <w:rsid w:val="000116B1"/>
    <w:rsid w:val="000169F7"/>
    <w:rsid w:val="000223A3"/>
    <w:rsid w:val="000255B0"/>
    <w:rsid w:val="000435E6"/>
    <w:rsid w:val="00047E52"/>
    <w:rsid w:val="000573EA"/>
    <w:rsid w:val="00061788"/>
    <w:rsid w:val="00071D58"/>
    <w:rsid w:val="00086E68"/>
    <w:rsid w:val="000A2662"/>
    <w:rsid w:val="000B7CD8"/>
    <w:rsid w:val="000D3EFE"/>
    <w:rsid w:val="000D7B13"/>
    <w:rsid w:val="000D7F6D"/>
    <w:rsid w:val="000E238E"/>
    <w:rsid w:val="000F0C10"/>
    <w:rsid w:val="00111820"/>
    <w:rsid w:val="0013771F"/>
    <w:rsid w:val="00160D88"/>
    <w:rsid w:val="00176390"/>
    <w:rsid w:val="00184912"/>
    <w:rsid w:val="001F2345"/>
    <w:rsid w:val="00211A56"/>
    <w:rsid w:val="002532FC"/>
    <w:rsid w:val="0025649C"/>
    <w:rsid w:val="0026144E"/>
    <w:rsid w:val="00267447"/>
    <w:rsid w:val="002A7DA4"/>
    <w:rsid w:val="002B13B3"/>
    <w:rsid w:val="002E026A"/>
    <w:rsid w:val="002E78B6"/>
    <w:rsid w:val="002F1F2C"/>
    <w:rsid w:val="002F5378"/>
    <w:rsid w:val="00320B09"/>
    <w:rsid w:val="00326C38"/>
    <w:rsid w:val="0033618F"/>
    <w:rsid w:val="00370270"/>
    <w:rsid w:val="003A6E10"/>
    <w:rsid w:val="003B6820"/>
    <w:rsid w:val="003C69DE"/>
    <w:rsid w:val="003E13BC"/>
    <w:rsid w:val="003F3AB4"/>
    <w:rsid w:val="003F4226"/>
    <w:rsid w:val="00413755"/>
    <w:rsid w:val="0043283B"/>
    <w:rsid w:val="0044319F"/>
    <w:rsid w:val="0044350A"/>
    <w:rsid w:val="00471E42"/>
    <w:rsid w:val="00484107"/>
    <w:rsid w:val="00486BDD"/>
    <w:rsid w:val="00493EC0"/>
    <w:rsid w:val="0049608D"/>
    <w:rsid w:val="004A2A7D"/>
    <w:rsid w:val="004D27DE"/>
    <w:rsid w:val="004D3237"/>
    <w:rsid w:val="004F1FB4"/>
    <w:rsid w:val="00516477"/>
    <w:rsid w:val="0053689A"/>
    <w:rsid w:val="00544FC6"/>
    <w:rsid w:val="00571673"/>
    <w:rsid w:val="00586B13"/>
    <w:rsid w:val="005A28F9"/>
    <w:rsid w:val="005B13BC"/>
    <w:rsid w:val="005E5324"/>
    <w:rsid w:val="00611AAF"/>
    <w:rsid w:val="00630790"/>
    <w:rsid w:val="0064063C"/>
    <w:rsid w:val="00654A04"/>
    <w:rsid w:val="006649ED"/>
    <w:rsid w:val="00674868"/>
    <w:rsid w:val="006C213E"/>
    <w:rsid w:val="006D20B9"/>
    <w:rsid w:val="006E2D84"/>
    <w:rsid w:val="006F53BF"/>
    <w:rsid w:val="007040ED"/>
    <w:rsid w:val="007131A0"/>
    <w:rsid w:val="007239D2"/>
    <w:rsid w:val="00735BF0"/>
    <w:rsid w:val="0076278A"/>
    <w:rsid w:val="00763047"/>
    <w:rsid w:val="00775C07"/>
    <w:rsid w:val="00787DAB"/>
    <w:rsid w:val="0079237D"/>
    <w:rsid w:val="007C504F"/>
    <w:rsid w:val="007F3E98"/>
    <w:rsid w:val="00810908"/>
    <w:rsid w:val="00812112"/>
    <w:rsid w:val="00826E37"/>
    <w:rsid w:val="00845559"/>
    <w:rsid w:val="00851836"/>
    <w:rsid w:val="0085572E"/>
    <w:rsid w:val="0087784F"/>
    <w:rsid w:val="008903F6"/>
    <w:rsid w:val="008913A3"/>
    <w:rsid w:val="008B060F"/>
    <w:rsid w:val="008B34CB"/>
    <w:rsid w:val="008C1E57"/>
    <w:rsid w:val="008C3068"/>
    <w:rsid w:val="008C33BE"/>
    <w:rsid w:val="008C4479"/>
    <w:rsid w:val="008C7210"/>
    <w:rsid w:val="008C7AD6"/>
    <w:rsid w:val="008E5211"/>
    <w:rsid w:val="00922A83"/>
    <w:rsid w:val="0093686D"/>
    <w:rsid w:val="00942BFA"/>
    <w:rsid w:val="00955A5A"/>
    <w:rsid w:val="009573AF"/>
    <w:rsid w:val="00994B49"/>
    <w:rsid w:val="009B4814"/>
    <w:rsid w:val="009C6B78"/>
    <w:rsid w:val="009F44B8"/>
    <w:rsid w:val="00A02A4A"/>
    <w:rsid w:val="00A0770B"/>
    <w:rsid w:val="00A371BD"/>
    <w:rsid w:val="00A44F1E"/>
    <w:rsid w:val="00A5625E"/>
    <w:rsid w:val="00A924F3"/>
    <w:rsid w:val="00AC07D4"/>
    <w:rsid w:val="00AC23A4"/>
    <w:rsid w:val="00AD4C73"/>
    <w:rsid w:val="00AF4930"/>
    <w:rsid w:val="00AF5964"/>
    <w:rsid w:val="00AF7DB4"/>
    <w:rsid w:val="00B05272"/>
    <w:rsid w:val="00B05CED"/>
    <w:rsid w:val="00B32796"/>
    <w:rsid w:val="00B34661"/>
    <w:rsid w:val="00B40803"/>
    <w:rsid w:val="00B42CA1"/>
    <w:rsid w:val="00B435E4"/>
    <w:rsid w:val="00B56F83"/>
    <w:rsid w:val="00B5781C"/>
    <w:rsid w:val="00B6490B"/>
    <w:rsid w:val="00B76D66"/>
    <w:rsid w:val="00BC1218"/>
    <w:rsid w:val="00BC28C4"/>
    <w:rsid w:val="00BF2210"/>
    <w:rsid w:val="00C03665"/>
    <w:rsid w:val="00C2437B"/>
    <w:rsid w:val="00C2546C"/>
    <w:rsid w:val="00C46523"/>
    <w:rsid w:val="00C50BC2"/>
    <w:rsid w:val="00C76BCD"/>
    <w:rsid w:val="00C94073"/>
    <w:rsid w:val="00C94AF0"/>
    <w:rsid w:val="00C94FC9"/>
    <w:rsid w:val="00CA4161"/>
    <w:rsid w:val="00CB0324"/>
    <w:rsid w:val="00CB15A8"/>
    <w:rsid w:val="00CC1658"/>
    <w:rsid w:val="00CC7B32"/>
    <w:rsid w:val="00CF37DE"/>
    <w:rsid w:val="00D10967"/>
    <w:rsid w:val="00D15FC0"/>
    <w:rsid w:val="00D32D4A"/>
    <w:rsid w:val="00D365D3"/>
    <w:rsid w:val="00D40FA2"/>
    <w:rsid w:val="00D505DC"/>
    <w:rsid w:val="00D67AF1"/>
    <w:rsid w:val="00D74180"/>
    <w:rsid w:val="00D8079B"/>
    <w:rsid w:val="00D945E1"/>
    <w:rsid w:val="00DD4B95"/>
    <w:rsid w:val="00DD4BC1"/>
    <w:rsid w:val="00DD7BB4"/>
    <w:rsid w:val="00E22D8F"/>
    <w:rsid w:val="00E618C9"/>
    <w:rsid w:val="00E72CB7"/>
    <w:rsid w:val="00E83DBF"/>
    <w:rsid w:val="00EC20BF"/>
    <w:rsid w:val="00ED620F"/>
    <w:rsid w:val="00ED7336"/>
    <w:rsid w:val="00ED745D"/>
    <w:rsid w:val="00EF3050"/>
    <w:rsid w:val="00F62DB7"/>
    <w:rsid w:val="00F70128"/>
    <w:rsid w:val="00F71125"/>
    <w:rsid w:val="00F73A64"/>
    <w:rsid w:val="00F76028"/>
    <w:rsid w:val="00F818E9"/>
    <w:rsid w:val="00F84E10"/>
    <w:rsid w:val="00FA505D"/>
    <w:rsid w:val="00FC4817"/>
    <w:rsid w:val="00FD0D13"/>
    <w:rsid w:val="00FD7014"/>
    <w:rsid w:val="00FE58FA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8BA5B"/>
  <w15:chartTrackingRefBased/>
  <w15:docId w15:val="{EC7B992B-10E5-4843-BCDD-1FE59476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84"/>
  </w:style>
  <w:style w:type="paragraph" w:styleId="Footer">
    <w:name w:val="footer"/>
    <w:basedOn w:val="Normal"/>
    <w:link w:val="FooterChar"/>
    <w:uiPriority w:val="99"/>
    <w:unhideWhenUsed/>
    <w:rsid w:val="006E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84"/>
  </w:style>
  <w:style w:type="character" w:styleId="SubtleEmphasis">
    <w:name w:val="Subtle Emphasis"/>
    <w:basedOn w:val="DefaultParagraphFont"/>
    <w:uiPriority w:val="19"/>
    <w:qFormat/>
    <w:rsid w:val="006E2D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3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5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5D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5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5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5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B0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C23A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8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8FA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8C721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40FA2"/>
    <w:rPr>
      <w:color w:val="808080"/>
    </w:rPr>
  </w:style>
  <w:style w:type="character" w:customStyle="1" w:styleId="Enterorganisationname">
    <w:name w:val="Enter organisation name"/>
    <w:basedOn w:val="DefaultParagraphFont"/>
    <w:uiPriority w:val="1"/>
    <w:rsid w:val="00B40803"/>
  </w:style>
  <w:style w:type="character" w:customStyle="1" w:styleId="Clickortaptoenteradate">
    <w:name w:val="Click or tap to enter a date"/>
    <w:basedOn w:val="DefaultParagraphFont"/>
    <w:uiPriority w:val="1"/>
    <w:rsid w:val="00B40803"/>
  </w:style>
  <w:style w:type="character" w:customStyle="1" w:styleId="Clickortaptoenterorganisationname">
    <w:name w:val="Click or tap to enter organisation name"/>
    <w:basedOn w:val="DefaultParagraphFont"/>
    <w:uiPriority w:val="1"/>
    <w:rsid w:val="00E7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campbellticke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633667/Sector_Risk_Profile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E5FD97CF2C4E91A8D902187B35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60CC-7D7E-4380-98B7-C7D789FAA23C}"/>
      </w:docPartPr>
      <w:docPartBody>
        <w:p w:rsidR="00CD0064" w:rsidRDefault="00EE5A1F" w:rsidP="00EE5A1F">
          <w:pPr>
            <w:pStyle w:val="1EE5FD97CF2C4E91A8D902187B357BFC3"/>
          </w:pPr>
          <w:r>
            <w:rPr>
              <w:rStyle w:val="PlaceholderText"/>
            </w:rPr>
            <w:t>Click or tap to enter organisation name</w:t>
          </w:r>
        </w:p>
      </w:docPartBody>
    </w:docPart>
    <w:docPart>
      <w:docPartPr>
        <w:name w:val="6AB837D0EF014094A1C1151881E1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6D9F-81C3-4438-A0CF-4B09D00ACB8D}"/>
      </w:docPartPr>
      <w:docPartBody>
        <w:p w:rsidR="00CD0064" w:rsidRDefault="00EE5A1F" w:rsidP="00EE5A1F">
          <w:pPr>
            <w:pStyle w:val="6AB837D0EF014094A1C1151881E1726D3"/>
          </w:pPr>
          <w:r w:rsidRPr="0021689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D"/>
    <w:rsid w:val="0042328E"/>
    <w:rsid w:val="005A114D"/>
    <w:rsid w:val="00CD0064"/>
    <w:rsid w:val="00E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A1F"/>
    <w:rPr>
      <w:color w:val="808080"/>
    </w:rPr>
  </w:style>
  <w:style w:type="paragraph" w:customStyle="1" w:styleId="C3F6B851D03C41C3889EB21D68D9C401">
    <w:name w:val="C3F6B851D03C41C3889EB21D68D9C401"/>
    <w:rsid w:val="005A114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CBA0972FF25463CA897C1CC6559EC64">
    <w:name w:val="ECBA0972FF25463CA897C1CC6559EC64"/>
    <w:rsid w:val="005A114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CBA0972FF25463CA897C1CC6559EC641">
    <w:name w:val="ECBA0972FF25463CA897C1CC6559EC641"/>
    <w:rsid w:val="005A114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EE5FD97CF2C4E91A8D902187B357BFC">
    <w:name w:val="1EE5FD97CF2C4E91A8D902187B357BFC"/>
    <w:rsid w:val="005A114D"/>
    <w:rPr>
      <w:rFonts w:eastAsiaTheme="minorHAnsi"/>
      <w:lang w:eastAsia="en-US"/>
    </w:rPr>
  </w:style>
  <w:style w:type="paragraph" w:customStyle="1" w:styleId="6AB837D0EF014094A1C1151881E1726D">
    <w:name w:val="6AB837D0EF014094A1C1151881E1726D"/>
    <w:rsid w:val="005A114D"/>
    <w:rPr>
      <w:rFonts w:eastAsiaTheme="minorHAnsi"/>
      <w:lang w:eastAsia="en-US"/>
    </w:rPr>
  </w:style>
  <w:style w:type="paragraph" w:customStyle="1" w:styleId="1EE5FD97CF2C4E91A8D902187B357BFC1">
    <w:name w:val="1EE5FD97CF2C4E91A8D902187B357BFC1"/>
    <w:rsid w:val="005A114D"/>
    <w:rPr>
      <w:rFonts w:eastAsiaTheme="minorHAnsi"/>
      <w:lang w:eastAsia="en-US"/>
    </w:rPr>
  </w:style>
  <w:style w:type="paragraph" w:customStyle="1" w:styleId="6AB837D0EF014094A1C1151881E1726D1">
    <w:name w:val="6AB837D0EF014094A1C1151881E1726D1"/>
    <w:rsid w:val="005A114D"/>
    <w:rPr>
      <w:rFonts w:eastAsiaTheme="minorHAnsi"/>
      <w:lang w:eastAsia="en-US"/>
    </w:rPr>
  </w:style>
  <w:style w:type="paragraph" w:customStyle="1" w:styleId="1EE5FD97CF2C4E91A8D902187B357BFC2">
    <w:name w:val="1EE5FD97CF2C4E91A8D902187B357BFC2"/>
    <w:rsid w:val="00CD0064"/>
    <w:rPr>
      <w:rFonts w:eastAsiaTheme="minorHAnsi"/>
      <w:lang w:eastAsia="en-US"/>
    </w:rPr>
  </w:style>
  <w:style w:type="paragraph" w:customStyle="1" w:styleId="6AB837D0EF014094A1C1151881E1726D2">
    <w:name w:val="6AB837D0EF014094A1C1151881E1726D2"/>
    <w:rsid w:val="00CD0064"/>
    <w:rPr>
      <w:rFonts w:eastAsiaTheme="minorHAnsi"/>
      <w:lang w:eastAsia="en-US"/>
    </w:rPr>
  </w:style>
  <w:style w:type="paragraph" w:customStyle="1" w:styleId="1EE5FD97CF2C4E91A8D902187B357BFC3">
    <w:name w:val="1EE5FD97CF2C4E91A8D902187B357BFC3"/>
    <w:rsid w:val="00EE5A1F"/>
    <w:rPr>
      <w:rFonts w:eastAsiaTheme="minorHAnsi"/>
      <w:lang w:eastAsia="en-US"/>
    </w:rPr>
  </w:style>
  <w:style w:type="paragraph" w:customStyle="1" w:styleId="6AB837D0EF014094A1C1151881E1726D3">
    <w:name w:val="6AB837D0EF014094A1C1151881E1726D3"/>
    <w:rsid w:val="00EE5A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9A38-3684-49EF-901E-247EA368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Harvey</dc:creator>
  <cp:keywords/>
  <dc:description/>
  <cp:lastModifiedBy>Zina Smith</cp:lastModifiedBy>
  <cp:revision>17</cp:revision>
  <dcterms:created xsi:type="dcterms:W3CDTF">2017-08-21T15:04:00Z</dcterms:created>
  <dcterms:modified xsi:type="dcterms:W3CDTF">2017-08-22T08:26:00Z</dcterms:modified>
</cp:coreProperties>
</file>